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C100D4">
      <w:pPr>
        <w:rPr>
          <w:rFonts w:hint="eastAsia" w:ascii="宋体" w:hAnsi="宋体" w:eastAsia="宋体" w:cs="宋体"/>
          <w:kern w:val="0"/>
          <w:sz w:val="32"/>
          <w:szCs w:val="32"/>
          <w:lang w:val="en-US" w:eastAsia="zh-CN"/>
        </w:rPr>
      </w:pPr>
      <w:r>
        <w:rPr>
          <w:rFonts w:hint="eastAsia" w:ascii="宋体" w:hAnsi="宋体" w:eastAsia="宋体" w:cs="宋体"/>
          <w:kern w:val="0"/>
          <w:sz w:val="32"/>
          <w:szCs w:val="32"/>
        </w:rPr>
        <w:t>附件1</w:t>
      </w:r>
      <w:r>
        <w:rPr>
          <w:rFonts w:hint="eastAsia" w:ascii="宋体" w:hAnsi="宋体" w:eastAsia="宋体" w:cs="宋体"/>
          <w:kern w:val="0"/>
          <w:sz w:val="32"/>
          <w:szCs w:val="32"/>
          <w:lang w:eastAsia="zh-CN"/>
        </w:rPr>
        <w:t>：</w:t>
      </w:r>
      <w:r>
        <w:rPr>
          <w:rFonts w:hint="eastAsia" w:ascii="宋体" w:hAnsi="宋体" w:eastAsia="宋体" w:cs="宋体"/>
          <w:kern w:val="0"/>
          <w:sz w:val="32"/>
          <w:szCs w:val="32"/>
          <w:lang w:val="en-US" w:eastAsia="zh-CN"/>
        </w:rPr>
        <w:t xml:space="preserve">       </w:t>
      </w:r>
      <w:r>
        <w:rPr>
          <w:rFonts w:hint="eastAsia" w:ascii="宋体" w:hAnsi="宋体" w:eastAsia="宋体" w:cs="宋体"/>
          <w:kern w:val="0"/>
          <w:sz w:val="24"/>
        </w:rPr>
        <w:t xml:space="preserve"> </w:t>
      </w:r>
      <w:r>
        <w:rPr>
          <w:rFonts w:hint="eastAsia" w:ascii="宋体" w:hAnsi="宋体" w:cs="宋体"/>
          <w:kern w:val="0"/>
          <w:sz w:val="36"/>
          <w:szCs w:val="36"/>
        </w:rPr>
        <w:t>项目采购内容及相关要求</w:t>
      </w:r>
      <w:r>
        <w:rPr>
          <w:rFonts w:hint="eastAsia" w:ascii="宋体" w:hAnsi="宋体" w:eastAsia="宋体" w:cs="宋体"/>
          <w:kern w:val="0"/>
          <w:sz w:val="32"/>
          <w:szCs w:val="32"/>
          <w:lang w:val="en-US" w:eastAsia="zh-CN"/>
        </w:rPr>
        <w:t xml:space="preserve">             </w:t>
      </w:r>
    </w:p>
    <w:p w14:paraId="7C271A01">
      <w:pPr>
        <w:jc w:val="center"/>
        <w:rPr>
          <w:rFonts w:hint="eastAsia" w:ascii="宋体" w:hAnsi="宋体"/>
          <w:b/>
          <w:sz w:val="36"/>
          <w:szCs w:val="36"/>
          <w:lang w:val="en-US" w:eastAsia="zh-CN"/>
        </w:rPr>
      </w:pPr>
    </w:p>
    <w:p w14:paraId="3D387722">
      <w:pPr>
        <w:jc w:val="center"/>
        <w:rPr>
          <w:rFonts w:hint="eastAsia" w:ascii="宋体" w:hAnsi="宋体"/>
          <w:b/>
          <w:sz w:val="44"/>
          <w:szCs w:val="44"/>
          <w:lang w:eastAsia="zh-CN"/>
        </w:rPr>
      </w:pPr>
      <w:r>
        <w:rPr>
          <w:rFonts w:hint="eastAsia" w:ascii="宋体" w:hAnsi="宋体"/>
          <w:b/>
          <w:sz w:val="36"/>
          <w:szCs w:val="36"/>
          <w:lang w:val="en-US" w:eastAsia="zh-CN"/>
        </w:rPr>
        <w:t>一、预算</w:t>
      </w:r>
      <w:r>
        <w:rPr>
          <w:rFonts w:hint="eastAsia" w:ascii="宋体" w:hAnsi="宋体"/>
          <w:b/>
          <w:sz w:val="36"/>
          <w:szCs w:val="36"/>
          <w:lang w:eastAsia="zh-CN"/>
        </w:rPr>
        <w:t>表</w:t>
      </w:r>
    </w:p>
    <w:p w14:paraId="5F753BD9">
      <w:pPr>
        <w:rPr>
          <w:rFonts w:hint="eastAsia" w:ascii="宋体" w:hAnsi="宋体"/>
          <w:b/>
          <w:sz w:val="44"/>
          <w:szCs w:val="44"/>
          <w:lang w:eastAsia="zh-CN"/>
        </w:rPr>
      </w:pPr>
    </w:p>
    <w:tbl>
      <w:tblPr>
        <w:tblStyle w:val="7"/>
        <w:tblW w:w="10440" w:type="dxa"/>
        <w:tblInd w:w="-8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
        <w:gridCol w:w="1476"/>
        <w:gridCol w:w="2424"/>
        <w:gridCol w:w="1044"/>
        <w:gridCol w:w="960"/>
        <w:gridCol w:w="1404"/>
        <w:gridCol w:w="1368"/>
        <w:gridCol w:w="852"/>
      </w:tblGrid>
      <w:tr w14:paraId="77B6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912" w:type="dxa"/>
            <w:tcBorders>
              <w:top w:val="single" w:color="auto" w:sz="4" w:space="0"/>
              <w:left w:val="single" w:color="auto" w:sz="4" w:space="0"/>
              <w:bottom w:val="single" w:color="auto" w:sz="4" w:space="0"/>
              <w:right w:val="single" w:color="auto" w:sz="4" w:space="0"/>
            </w:tcBorders>
            <w:vAlign w:val="center"/>
          </w:tcPr>
          <w:p w14:paraId="7693D3A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ascii="宋体" w:hAnsi="宋体" w:cs="宋体"/>
                <w:b/>
                <w:sz w:val="24"/>
              </w:rPr>
            </w:pPr>
            <w:r>
              <w:rPr>
                <w:rFonts w:hint="eastAsia" w:ascii="仿宋" w:hAnsi="仿宋" w:eastAsia="仿宋" w:cs="仿宋"/>
                <w:b w:val="0"/>
                <w:bCs/>
                <w:color w:val="auto"/>
                <w:sz w:val="28"/>
                <w:szCs w:val="28"/>
                <w:lang w:eastAsia="zh-CN"/>
              </w:rPr>
              <w:t>序号</w:t>
            </w:r>
          </w:p>
        </w:tc>
        <w:tc>
          <w:tcPr>
            <w:tcW w:w="1476" w:type="dxa"/>
            <w:tcBorders>
              <w:top w:val="single" w:color="auto" w:sz="4" w:space="0"/>
              <w:left w:val="single" w:color="auto" w:sz="4" w:space="0"/>
              <w:bottom w:val="single" w:color="auto" w:sz="4" w:space="0"/>
              <w:right w:val="single" w:color="auto" w:sz="4" w:space="0"/>
            </w:tcBorders>
            <w:vAlign w:val="center"/>
          </w:tcPr>
          <w:p w14:paraId="0E91DA3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eastAsia="zh-CN"/>
              </w:rPr>
              <w:t>货物名称</w:t>
            </w:r>
          </w:p>
        </w:tc>
        <w:tc>
          <w:tcPr>
            <w:tcW w:w="2424" w:type="dxa"/>
            <w:tcBorders>
              <w:top w:val="single" w:color="auto" w:sz="4" w:space="0"/>
              <w:left w:val="single" w:color="auto" w:sz="4" w:space="0"/>
              <w:bottom w:val="single" w:color="auto" w:sz="4" w:space="0"/>
              <w:right w:val="single" w:color="auto" w:sz="4" w:space="0"/>
            </w:tcBorders>
            <w:vAlign w:val="center"/>
          </w:tcPr>
          <w:p w14:paraId="0B7591B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参数配置要求</w:t>
            </w:r>
          </w:p>
        </w:tc>
        <w:tc>
          <w:tcPr>
            <w:tcW w:w="1044" w:type="dxa"/>
            <w:tcBorders>
              <w:top w:val="single" w:color="auto" w:sz="4" w:space="0"/>
              <w:left w:val="single" w:color="auto" w:sz="4" w:space="0"/>
              <w:bottom w:val="single" w:color="auto" w:sz="4" w:space="0"/>
              <w:right w:val="single" w:color="auto" w:sz="4" w:space="0"/>
            </w:tcBorders>
            <w:vAlign w:val="center"/>
          </w:tcPr>
          <w:p w14:paraId="1DE512E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eastAsia="zh-CN"/>
              </w:rPr>
              <w:t>单位</w:t>
            </w:r>
          </w:p>
        </w:tc>
        <w:tc>
          <w:tcPr>
            <w:tcW w:w="960" w:type="dxa"/>
            <w:tcBorders>
              <w:top w:val="single" w:color="auto" w:sz="4" w:space="0"/>
              <w:left w:val="single" w:color="auto" w:sz="4" w:space="0"/>
              <w:bottom w:val="single" w:color="auto" w:sz="4" w:space="0"/>
              <w:right w:val="single" w:color="auto" w:sz="4" w:space="0"/>
            </w:tcBorders>
            <w:vAlign w:val="center"/>
          </w:tcPr>
          <w:p w14:paraId="3BE7AC9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eastAsia="zh-CN"/>
              </w:rPr>
              <w:t>数量</w:t>
            </w:r>
          </w:p>
        </w:tc>
        <w:tc>
          <w:tcPr>
            <w:tcW w:w="1404" w:type="dxa"/>
            <w:tcBorders>
              <w:top w:val="single" w:color="auto" w:sz="4" w:space="0"/>
              <w:left w:val="single" w:color="auto" w:sz="4" w:space="0"/>
              <w:bottom w:val="single" w:color="auto" w:sz="4" w:space="0"/>
              <w:right w:val="single" w:color="auto" w:sz="4" w:space="0"/>
            </w:tcBorders>
            <w:vAlign w:val="center"/>
          </w:tcPr>
          <w:p w14:paraId="6ECDB2B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val="en-US" w:eastAsia="zh-CN"/>
              </w:rPr>
              <w:t>预算单价（元）</w:t>
            </w:r>
          </w:p>
        </w:tc>
        <w:tc>
          <w:tcPr>
            <w:tcW w:w="1368" w:type="dxa"/>
            <w:tcBorders>
              <w:top w:val="single" w:color="auto" w:sz="4" w:space="0"/>
              <w:left w:val="single" w:color="auto" w:sz="4" w:space="0"/>
              <w:bottom w:val="single" w:color="auto" w:sz="4" w:space="0"/>
              <w:right w:val="single" w:color="auto" w:sz="4" w:space="0"/>
            </w:tcBorders>
            <w:vAlign w:val="center"/>
          </w:tcPr>
          <w:p w14:paraId="2D4ECAD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合计价格（元）</w:t>
            </w:r>
          </w:p>
        </w:tc>
        <w:tc>
          <w:tcPr>
            <w:tcW w:w="852" w:type="dxa"/>
            <w:tcBorders>
              <w:top w:val="single" w:color="auto" w:sz="4" w:space="0"/>
              <w:left w:val="single" w:color="auto" w:sz="4" w:space="0"/>
              <w:bottom w:val="single" w:color="auto" w:sz="4" w:space="0"/>
              <w:right w:val="single" w:color="auto" w:sz="4" w:space="0"/>
            </w:tcBorders>
            <w:vAlign w:val="center"/>
          </w:tcPr>
          <w:p w14:paraId="69CBF9F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备注</w:t>
            </w:r>
          </w:p>
        </w:tc>
      </w:tr>
      <w:tr w14:paraId="61734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12" w:type="dxa"/>
            <w:tcBorders>
              <w:top w:val="single" w:color="auto" w:sz="4" w:space="0"/>
              <w:left w:val="single" w:color="auto" w:sz="4" w:space="0"/>
              <w:bottom w:val="single" w:color="auto" w:sz="4" w:space="0"/>
              <w:right w:val="single" w:color="auto" w:sz="4" w:space="0"/>
            </w:tcBorders>
            <w:vAlign w:val="center"/>
          </w:tcPr>
          <w:p w14:paraId="162C37DE">
            <w:pPr>
              <w:tabs>
                <w:tab w:val="left" w:pos="574"/>
              </w:tabs>
              <w:jc w:val="center"/>
              <w:rPr>
                <w:rFonts w:ascii="黑体" w:hAnsi="黑体" w:eastAsia="黑体" w:cs="黑体"/>
                <w:sz w:val="22"/>
                <w:szCs w:val="22"/>
              </w:rPr>
            </w:pPr>
            <w:r>
              <w:rPr>
                <w:rFonts w:hint="eastAsia" w:ascii="黑体" w:hAnsi="黑体" w:eastAsia="黑体" w:cs="黑体"/>
                <w:sz w:val="22"/>
                <w:szCs w:val="22"/>
              </w:rPr>
              <w:t>1</w:t>
            </w:r>
          </w:p>
        </w:tc>
        <w:tc>
          <w:tcPr>
            <w:tcW w:w="1476" w:type="dxa"/>
            <w:tcBorders>
              <w:top w:val="single" w:color="auto" w:sz="4" w:space="0"/>
              <w:left w:val="single" w:color="auto" w:sz="4" w:space="0"/>
              <w:bottom w:val="single" w:color="auto" w:sz="4" w:space="0"/>
              <w:right w:val="single" w:color="auto" w:sz="4" w:space="0"/>
            </w:tcBorders>
            <w:vAlign w:val="center"/>
          </w:tcPr>
          <w:p w14:paraId="55B36725">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纱窗</w:t>
            </w:r>
          </w:p>
        </w:tc>
        <w:tc>
          <w:tcPr>
            <w:tcW w:w="2424" w:type="dxa"/>
            <w:tcBorders>
              <w:top w:val="single" w:color="auto" w:sz="4" w:space="0"/>
              <w:left w:val="single" w:color="auto" w:sz="4" w:space="0"/>
              <w:bottom w:val="single" w:color="auto" w:sz="4" w:space="0"/>
              <w:right w:val="single" w:color="auto" w:sz="4" w:space="0"/>
            </w:tcBorders>
            <w:vAlign w:val="center"/>
          </w:tcPr>
          <w:p w14:paraId="6CC8B054">
            <w:pPr>
              <w:snapToGrid w:val="0"/>
              <w:jc w:val="center"/>
              <w:rPr>
                <w:rFonts w:hint="default" w:ascii="仿宋" w:hAnsi="仿宋" w:eastAsia="仿宋"/>
                <w:lang w:val="en-US" w:eastAsia="zh-CN"/>
              </w:rPr>
            </w:pPr>
            <w:r>
              <w:rPr>
                <w:rFonts w:hint="default" w:ascii="仿宋" w:hAnsi="仿宋" w:eastAsia="仿宋"/>
                <w:lang w:val="en-US" w:eastAsia="zh-CN"/>
              </w:rPr>
              <w:t>620×1410</w:t>
            </w:r>
          </w:p>
        </w:tc>
        <w:tc>
          <w:tcPr>
            <w:tcW w:w="1044" w:type="dxa"/>
            <w:tcBorders>
              <w:top w:val="single" w:color="auto" w:sz="4" w:space="0"/>
              <w:left w:val="single" w:color="auto" w:sz="4" w:space="0"/>
              <w:bottom w:val="single" w:color="auto" w:sz="4" w:space="0"/>
              <w:right w:val="single" w:color="auto" w:sz="4" w:space="0"/>
            </w:tcBorders>
            <w:vAlign w:val="center"/>
          </w:tcPr>
          <w:p w14:paraId="1141AA63">
            <w:pPr>
              <w:tabs>
                <w:tab w:val="left" w:pos="574"/>
              </w:tabs>
              <w:jc w:val="center"/>
              <w:rPr>
                <w:rFonts w:hint="default" w:ascii="黑体" w:hAnsi="黑体" w:eastAsia="黑体" w:cs="黑体"/>
                <w:sz w:val="22"/>
                <w:szCs w:val="22"/>
                <w:lang w:val="en-US" w:eastAsia="zh-CN"/>
              </w:rPr>
            </w:pPr>
            <w:r>
              <w:rPr>
                <w:rFonts w:hint="default" w:ascii="黑体" w:hAnsi="黑体" w:eastAsia="黑体" w:cs="黑体"/>
                <w:sz w:val="22"/>
                <w:szCs w:val="22"/>
                <w:lang w:val="en-US" w:eastAsia="zh-CN"/>
              </w:rPr>
              <w:t>扇</w:t>
            </w:r>
          </w:p>
        </w:tc>
        <w:tc>
          <w:tcPr>
            <w:tcW w:w="960" w:type="dxa"/>
            <w:tcBorders>
              <w:top w:val="single" w:color="auto" w:sz="4" w:space="0"/>
              <w:left w:val="single" w:color="auto" w:sz="4" w:space="0"/>
              <w:bottom w:val="single" w:color="auto" w:sz="4" w:space="0"/>
              <w:right w:val="single" w:color="auto" w:sz="4" w:space="0"/>
            </w:tcBorders>
            <w:vAlign w:val="center"/>
          </w:tcPr>
          <w:p w14:paraId="33EC68B9">
            <w:pPr>
              <w:tabs>
                <w:tab w:val="left" w:pos="574"/>
              </w:tabs>
              <w:jc w:val="center"/>
              <w:rPr>
                <w:rFonts w:hint="default" w:ascii="黑体" w:hAnsi="黑体" w:eastAsia="黑体" w:cs="黑体"/>
                <w:sz w:val="22"/>
                <w:szCs w:val="22"/>
                <w:lang w:val="en-US" w:eastAsia="zh-CN"/>
              </w:rPr>
            </w:pPr>
            <w:r>
              <w:rPr>
                <w:rFonts w:hint="default" w:ascii="黑体" w:hAnsi="黑体" w:eastAsia="黑体" w:cs="黑体"/>
                <w:sz w:val="22"/>
                <w:szCs w:val="22"/>
                <w:lang w:val="en-US" w:eastAsia="zh-CN"/>
              </w:rPr>
              <w:t>56</w:t>
            </w:r>
          </w:p>
        </w:tc>
        <w:tc>
          <w:tcPr>
            <w:tcW w:w="1404" w:type="dxa"/>
            <w:tcBorders>
              <w:top w:val="single" w:color="auto" w:sz="4" w:space="0"/>
              <w:left w:val="single" w:color="auto" w:sz="4" w:space="0"/>
              <w:bottom w:val="single" w:color="auto" w:sz="4" w:space="0"/>
              <w:right w:val="single" w:color="auto" w:sz="4" w:space="0"/>
            </w:tcBorders>
            <w:vAlign w:val="center"/>
          </w:tcPr>
          <w:p w14:paraId="5A9814EE">
            <w:pPr>
              <w:tabs>
                <w:tab w:val="left" w:pos="574"/>
              </w:tabs>
              <w:jc w:val="center"/>
              <w:rPr>
                <w:rFonts w:hint="default" w:ascii="黑体" w:hAnsi="黑体" w:eastAsia="黑体" w:cs="黑体"/>
                <w:sz w:val="22"/>
                <w:szCs w:val="22"/>
                <w:lang w:val="en-US" w:eastAsia="zh-CN"/>
              </w:rPr>
            </w:pPr>
            <w:r>
              <w:rPr>
                <w:rFonts w:hint="default" w:ascii="黑体" w:hAnsi="黑体" w:eastAsia="黑体" w:cs="黑体"/>
                <w:sz w:val="22"/>
                <w:szCs w:val="22"/>
                <w:lang w:val="en-US" w:eastAsia="zh-CN"/>
              </w:rPr>
              <w:t>165.00</w:t>
            </w:r>
          </w:p>
        </w:tc>
        <w:tc>
          <w:tcPr>
            <w:tcW w:w="1368" w:type="dxa"/>
            <w:tcBorders>
              <w:top w:val="single" w:color="auto" w:sz="4" w:space="0"/>
              <w:left w:val="single" w:color="auto" w:sz="4" w:space="0"/>
              <w:bottom w:val="single" w:color="auto" w:sz="4" w:space="0"/>
              <w:right w:val="single" w:color="auto" w:sz="4" w:space="0"/>
            </w:tcBorders>
            <w:vAlign w:val="center"/>
          </w:tcPr>
          <w:p w14:paraId="0D221333">
            <w:pPr>
              <w:tabs>
                <w:tab w:val="left" w:pos="574"/>
              </w:tabs>
              <w:jc w:val="center"/>
              <w:rPr>
                <w:rFonts w:hint="default" w:ascii="黑体" w:hAnsi="黑体" w:eastAsia="黑体" w:cs="黑体"/>
                <w:sz w:val="22"/>
                <w:szCs w:val="22"/>
                <w:lang w:val="en-US" w:eastAsia="zh-CN"/>
              </w:rPr>
            </w:pPr>
            <w:r>
              <w:rPr>
                <w:rFonts w:hint="default" w:ascii="黑体" w:hAnsi="黑体" w:eastAsia="黑体" w:cs="黑体"/>
                <w:sz w:val="22"/>
                <w:szCs w:val="22"/>
                <w:lang w:val="en-US" w:eastAsia="zh-CN"/>
              </w:rPr>
              <w:t>9240.00</w:t>
            </w:r>
          </w:p>
        </w:tc>
        <w:tc>
          <w:tcPr>
            <w:tcW w:w="852" w:type="dxa"/>
            <w:tcBorders>
              <w:top w:val="single" w:color="auto" w:sz="4" w:space="0"/>
              <w:left w:val="single" w:color="auto" w:sz="4" w:space="0"/>
              <w:bottom w:val="single" w:color="auto" w:sz="4" w:space="0"/>
              <w:right w:val="single" w:color="auto" w:sz="4" w:space="0"/>
            </w:tcBorders>
            <w:vAlign w:val="center"/>
          </w:tcPr>
          <w:p w14:paraId="2E31C9FB">
            <w:pPr>
              <w:tabs>
                <w:tab w:val="left" w:pos="574"/>
              </w:tabs>
              <w:jc w:val="center"/>
              <w:rPr>
                <w:rFonts w:hint="default" w:ascii="黑体" w:hAnsi="黑体" w:eastAsia="黑体" w:cs="黑体"/>
                <w:sz w:val="22"/>
                <w:szCs w:val="22"/>
                <w:lang w:val="en-US" w:eastAsia="zh-CN"/>
              </w:rPr>
            </w:pPr>
          </w:p>
        </w:tc>
      </w:tr>
      <w:tr w14:paraId="15AE3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0A68ECD8">
            <w:pPr>
              <w:tabs>
                <w:tab w:val="left" w:pos="574"/>
              </w:tabs>
              <w:jc w:val="center"/>
              <w:rPr>
                <w:rFonts w:ascii="黑体" w:hAnsi="黑体" w:eastAsia="黑体" w:cs="黑体"/>
                <w:kern w:val="2"/>
                <w:sz w:val="22"/>
                <w:szCs w:val="22"/>
                <w:lang w:val="en-US" w:eastAsia="zh-CN" w:bidi="ar-SA"/>
              </w:rPr>
            </w:pPr>
            <w:r>
              <w:rPr>
                <w:rFonts w:ascii="黑体" w:hAnsi="黑体" w:eastAsia="黑体" w:cs="黑体"/>
                <w:kern w:val="2"/>
                <w:sz w:val="22"/>
                <w:szCs w:val="22"/>
                <w:lang w:val="en-US" w:eastAsia="zh-CN" w:bidi="ar-SA"/>
              </w:rPr>
              <w:t>2</w:t>
            </w:r>
          </w:p>
        </w:tc>
        <w:tc>
          <w:tcPr>
            <w:tcW w:w="1476" w:type="dxa"/>
            <w:tcBorders>
              <w:top w:val="single" w:color="auto" w:sz="4" w:space="0"/>
              <w:left w:val="single" w:color="auto" w:sz="4" w:space="0"/>
              <w:bottom w:val="single" w:color="auto" w:sz="4" w:space="0"/>
              <w:right w:val="single" w:color="auto" w:sz="4" w:space="0"/>
            </w:tcBorders>
            <w:vAlign w:val="center"/>
          </w:tcPr>
          <w:p w14:paraId="680180B6">
            <w:pPr>
              <w:tabs>
                <w:tab w:val="left" w:pos="574"/>
              </w:tabs>
              <w:jc w:val="center"/>
              <w:rPr>
                <w:rFonts w:ascii="黑体" w:hAnsi="黑体" w:eastAsia="黑体" w:cs="黑体"/>
                <w:kern w:val="2"/>
                <w:sz w:val="22"/>
                <w:szCs w:val="22"/>
                <w:lang w:val="en-US" w:eastAsia="zh-CN" w:bidi="ar-SA"/>
              </w:rPr>
            </w:pPr>
            <w:r>
              <w:rPr>
                <w:rFonts w:ascii="黑体" w:hAnsi="黑体" w:eastAsia="黑体" w:cs="黑体"/>
                <w:kern w:val="2"/>
                <w:sz w:val="22"/>
                <w:szCs w:val="22"/>
                <w:lang w:val="en-US" w:eastAsia="zh-CN" w:bidi="ar-SA"/>
              </w:rPr>
              <w:t>纱窗</w:t>
            </w:r>
          </w:p>
        </w:tc>
        <w:tc>
          <w:tcPr>
            <w:tcW w:w="2424" w:type="dxa"/>
            <w:tcBorders>
              <w:top w:val="single" w:color="auto" w:sz="4" w:space="0"/>
              <w:left w:val="single" w:color="auto" w:sz="4" w:space="0"/>
              <w:bottom w:val="single" w:color="auto" w:sz="4" w:space="0"/>
              <w:right w:val="single" w:color="auto" w:sz="4" w:space="0"/>
            </w:tcBorders>
            <w:vAlign w:val="center"/>
          </w:tcPr>
          <w:p w14:paraId="7E5AE59C">
            <w:pPr>
              <w:tabs>
                <w:tab w:val="left" w:pos="574"/>
              </w:tabs>
              <w:jc w:val="center"/>
              <w:rPr>
                <w:rFonts w:ascii="黑体" w:hAnsi="黑体" w:eastAsia="黑体" w:cs="黑体"/>
                <w:kern w:val="2"/>
                <w:sz w:val="22"/>
                <w:szCs w:val="22"/>
                <w:lang w:val="en-US" w:eastAsia="zh-CN" w:bidi="ar-SA"/>
              </w:rPr>
            </w:pPr>
            <w:r>
              <w:rPr>
                <w:rFonts w:ascii="黑体" w:hAnsi="黑体" w:eastAsia="黑体" w:cs="黑体"/>
                <w:kern w:val="2"/>
                <w:sz w:val="22"/>
                <w:szCs w:val="22"/>
                <w:lang w:val="en-US" w:eastAsia="zh-CN" w:bidi="ar-SA"/>
              </w:rPr>
              <w:t>1050×1410</w:t>
            </w:r>
          </w:p>
        </w:tc>
        <w:tc>
          <w:tcPr>
            <w:tcW w:w="1044" w:type="dxa"/>
            <w:tcBorders>
              <w:top w:val="single" w:color="auto" w:sz="4" w:space="0"/>
              <w:left w:val="single" w:color="auto" w:sz="4" w:space="0"/>
              <w:bottom w:val="single" w:color="auto" w:sz="4" w:space="0"/>
              <w:right w:val="single" w:color="auto" w:sz="4" w:space="0"/>
            </w:tcBorders>
            <w:vAlign w:val="center"/>
          </w:tcPr>
          <w:p w14:paraId="2600DA99">
            <w:pPr>
              <w:tabs>
                <w:tab w:val="left" w:pos="574"/>
              </w:tabs>
              <w:jc w:val="center"/>
              <w:rPr>
                <w:rFonts w:hint="default" w:ascii="黑体" w:hAnsi="黑体" w:eastAsia="黑体" w:cs="黑体"/>
                <w:kern w:val="2"/>
                <w:sz w:val="22"/>
                <w:szCs w:val="22"/>
                <w:lang w:val="en-US" w:eastAsia="zh-CN" w:bidi="ar-SA"/>
              </w:rPr>
            </w:pPr>
            <w:r>
              <w:rPr>
                <w:rFonts w:hint="default" w:ascii="黑体" w:hAnsi="黑体" w:eastAsia="黑体" w:cs="黑体"/>
                <w:kern w:val="2"/>
                <w:sz w:val="22"/>
                <w:szCs w:val="22"/>
                <w:lang w:val="en-US" w:eastAsia="zh-CN" w:bidi="ar-SA"/>
              </w:rPr>
              <w:t>扇</w:t>
            </w:r>
          </w:p>
        </w:tc>
        <w:tc>
          <w:tcPr>
            <w:tcW w:w="960" w:type="dxa"/>
            <w:tcBorders>
              <w:top w:val="single" w:color="auto" w:sz="4" w:space="0"/>
              <w:left w:val="single" w:color="auto" w:sz="4" w:space="0"/>
              <w:bottom w:val="single" w:color="auto" w:sz="4" w:space="0"/>
              <w:right w:val="single" w:color="auto" w:sz="4" w:space="0"/>
            </w:tcBorders>
            <w:vAlign w:val="center"/>
          </w:tcPr>
          <w:p w14:paraId="0CD59EFC">
            <w:pPr>
              <w:tabs>
                <w:tab w:val="left" w:pos="574"/>
              </w:tabs>
              <w:jc w:val="center"/>
              <w:rPr>
                <w:rFonts w:hint="default" w:ascii="黑体" w:hAnsi="黑体" w:eastAsia="黑体" w:cs="黑体"/>
                <w:kern w:val="2"/>
                <w:sz w:val="22"/>
                <w:szCs w:val="22"/>
                <w:lang w:val="en-US" w:eastAsia="zh-CN" w:bidi="ar-SA"/>
              </w:rPr>
            </w:pPr>
            <w:r>
              <w:rPr>
                <w:rFonts w:hint="default" w:ascii="黑体" w:hAnsi="黑体" w:eastAsia="黑体" w:cs="黑体"/>
                <w:kern w:val="2"/>
                <w:sz w:val="22"/>
                <w:szCs w:val="22"/>
                <w:lang w:val="en-US" w:eastAsia="zh-CN" w:bidi="ar-SA"/>
              </w:rPr>
              <w:t>8</w:t>
            </w:r>
          </w:p>
        </w:tc>
        <w:tc>
          <w:tcPr>
            <w:tcW w:w="1404" w:type="dxa"/>
            <w:tcBorders>
              <w:top w:val="single" w:color="auto" w:sz="4" w:space="0"/>
              <w:left w:val="single" w:color="auto" w:sz="4" w:space="0"/>
              <w:bottom w:val="single" w:color="auto" w:sz="4" w:space="0"/>
              <w:right w:val="single" w:color="auto" w:sz="4" w:space="0"/>
            </w:tcBorders>
            <w:vAlign w:val="center"/>
          </w:tcPr>
          <w:p w14:paraId="1A0E69AE">
            <w:pPr>
              <w:tabs>
                <w:tab w:val="left" w:pos="574"/>
              </w:tabs>
              <w:jc w:val="center"/>
              <w:rPr>
                <w:rFonts w:hint="default" w:ascii="黑体" w:hAnsi="黑体" w:eastAsia="黑体" w:cs="黑体"/>
                <w:kern w:val="2"/>
                <w:sz w:val="22"/>
                <w:szCs w:val="22"/>
                <w:lang w:val="en-US" w:eastAsia="zh-CN" w:bidi="ar-SA"/>
              </w:rPr>
            </w:pPr>
            <w:r>
              <w:rPr>
                <w:rFonts w:hint="default" w:ascii="黑体" w:hAnsi="黑体" w:eastAsia="黑体" w:cs="黑体"/>
                <w:kern w:val="2"/>
                <w:sz w:val="22"/>
                <w:szCs w:val="22"/>
                <w:lang w:val="en-US" w:eastAsia="zh-CN" w:bidi="ar-SA"/>
              </w:rPr>
              <w:t>280.00</w:t>
            </w:r>
          </w:p>
        </w:tc>
        <w:tc>
          <w:tcPr>
            <w:tcW w:w="1368" w:type="dxa"/>
            <w:tcBorders>
              <w:top w:val="single" w:color="auto" w:sz="4" w:space="0"/>
              <w:left w:val="single" w:color="auto" w:sz="4" w:space="0"/>
              <w:bottom w:val="single" w:color="auto" w:sz="4" w:space="0"/>
              <w:right w:val="single" w:color="auto" w:sz="4" w:space="0"/>
            </w:tcBorders>
            <w:vAlign w:val="center"/>
          </w:tcPr>
          <w:p w14:paraId="7DEABDE0">
            <w:pPr>
              <w:jc w:val="left"/>
              <w:rPr>
                <w:rFonts w:ascii="黑体" w:hAnsi="黑体" w:eastAsia="黑体" w:cs="黑体"/>
                <w:kern w:val="2"/>
                <w:sz w:val="22"/>
                <w:szCs w:val="22"/>
                <w:lang w:val="en-US" w:eastAsia="zh-CN" w:bidi="ar-SA"/>
              </w:rPr>
            </w:pPr>
            <w:r>
              <w:rPr>
                <w:rFonts w:ascii="黑体" w:hAnsi="黑体" w:eastAsia="黑体" w:cs="黑体"/>
                <w:kern w:val="2"/>
                <w:sz w:val="22"/>
                <w:szCs w:val="22"/>
                <w:lang w:val="en-US" w:eastAsia="zh-CN" w:bidi="ar-SA"/>
              </w:rPr>
              <w:t xml:space="preserve"> 2240.00</w:t>
            </w:r>
          </w:p>
        </w:tc>
        <w:tc>
          <w:tcPr>
            <w:tcW w:w="852" w:type="dxa"/>
            <w:tcBorders>
              <w:top w:val="single" w:color="auto" w:sz="4" w:space="0"/>
              <w:left w:val="single" w:color="auto" w:sz="4" w:space="0"/>
              <w:bottom w:val="single" w:color="auto" w:sz="4" w:space="0"/>
              <w:right w:val="single" w:color="auto" w:sz="4" w:space="0"/>
            </w:tcBorders>
            <w:vAlign w:val="center"/>
          </w:tcPr>
          <w:p w14:paraId="18EEB144">
            <w:pPr>
              <w:tabs>
                <w:tab w:val="left" w:pos="574"/>
              </w:tabs>
              <w:jc w:val="center"/>
              <w:rPr>
                <w:rFonts w:hint="default" w:ascii="黑体" w:hAnsi="黑体" w:eastAsia="黑体" w:cs="黑体"/>
                <w:sz w:val="22"/>
                <w:szCs w:val="22"/>
                <w:lang w:val="en-US" w:eastAsia="zh-CN"/>
              </w:rPr>
            </w:pPr>
          </w:p>
        </w:tc>
      </w:tr>
      <w:tr w14:paraId="32D7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2388" w:type="dxa"/>
            <w:gridSpan w:val="2"/>
            <w:tcBorders>
              <w:top w:val="single" w:color="auto" w:sz="4" w:space="0"/>
              <w:left w:val="single" w:color="auto" w:sz="4" w:space="0"/>
              <w:bottom w:val="single" w:color="auto" w:sz="4" w:space="0"/>
              <w:right w:val="single" w:color="auto" w:sz="4" w:space="0"/>
            </w:tcBorders>
            <w:vAlign w:val="center"/>
          </w:tcPr>
          <w:p w14:paraId="0EE39232">
            <w:pPr>
              <w:pStyle w:val="10"/>
              <w:spacing w:line="240" w:lineRule="auto"/>
              <w:contextualSpacing/>
              <w:rPr>
                <w:rFonts w:hint="default" w:ascii="黑体" w:hAnsi="黑体" w:eastAsia="黑体" w:cs="黑体"/>
                <w:kern w:val="2"/>
                <w:sz w:val="22"/>
                <w:szCs w:val="22"/>
                <w:lang w:val="en-US" w:eastAsia="zh-CN" w:bidi="ar-SA"/>
              </w:rPr>
            </w:pPr>
            <w:r>
              <w:rPr>
                <w:rFonts w:hint="eastAsia" w:ascii="黑体" w:hAnsi="黑体" w:eastAsia="黑体" w:cs="黑体"/>
                <w:kern w:val="2"/>
                <w:sz w:val="22"/>
                <w:szCs w:val="22"/>
                <w:lang w:val="en-US" w:eastAsia="zh-CN" w:bidi="ar-SA"/>
              </w:rPr>
              <w:t>合计</w:t>
            </w:r>
          </w:p>
        </w:tc>
        <w:tc>
          <w:tcPr>
            <w:tcW w:w="2424" w:type="dxa"/>
            <w:tcBorders>
              <w:top w:val="single" w:color="auto" w:sz="4" w:space="0"/>
              <w:left w:val="single" w:color="auto" w:sz="4" w:space="0"/>
              <w:bottom w:val="single" w:color="auto" w:sz="4" w:space="0"/>
              <w:right w:val="single" w:color="auto" w:sz="4" w:space="0"/>
            </w:tcBorders>
            <w:vAlign w:val="center"/>
          </w:tcPr>
          <w:p w14:paraId="7DF2DD1F">
            <w:pPr>
              <w:pStyle w:val="10"/>
              <w:spacing w:line="240" w:lineRule="auto"/>
              <w:contextualSpacing/>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0992E5BE">
            <w:pPr>
              <w:pStyle w:val="10"/>
              <w:spacing w:line="240" w:lineRule="auto"/>
              <w:contextualSpacing/>
              <w:rPr>
                <w:rFonts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2814B410">
            <w:pPr>
              <w:pStyle w:val="10"/>
              <w:spacing w:line="240" w:lineRule="auto"/>
              <w:contextualSpacing/>
              <w:rPr>
                <w:rFonts w:hint="default" w:ascii="黑体" w:hAnsi="黑体" w:eastAsia="黑体" w:cs="黑体"/>
                <w:kern w:val="2"/>
                <w:sz w:val="22"/>
                <w:szCs w:val="22"/>
                <w:lang w:val="en-US" w:eastAsia="zh-CN" w:bidi="ar-SA"/>
              </w:rPr>
            </w:pPr>
          </w:p>
        </w:tc>
        <w:tc>
          <w:tcPr>
            <w:tcW w:w="1404" w:type="dxa"/>
            <w:tcBorders>
              <w:top w:val="single" w:color="auto" w:sz="4" w:space="0"/>
              <w:left w:val="single" w:color="auto" w:sz="4" w:space="0"/>
              <w:bottom w:val="single" w:color="auto" w:sz="4" w:space="0"/>
              <w:right w:val="single" w:color="auto" w:sz="4" w:space="0"/>
            </w:tcBorders>
            <w:vAlign w:val="center"/>
          </w:tcPr>
          <w:p w14:paraId="0E9F07E9">
            <w:pPr>
              <w:pStyle w:val="10"/>
              <w:spacing w:line="240" w:lineRule="auto"/>
              <w:contextualSpacing/>
              <w:rPr>
                <w:rFonts w:hint="default" w:ascii="黑体" w:hAnsi="黑体" w:eastAsia="黑体" w:cs="黑体"/>
                <w:kern w:val="2"/>
                <w:sz w:val="22"/>
                <w:szCs w:val="22"/>
                <w:lang w:val="en-US" w:eastAsia="zh-CN" w:bidi="ar-SA"/>
              </w:rPr>
            </w:pPr>
          </w:p>
        </w:tc>
        <w:tc>
          <w:tcPr>
            <w:tcW w:w="1368" w:type="dxa"/>
            <w:tcBorders>
              <w:top w:val="single" w:color="auto" w:sz="4" w:space="0"/>
              <w:left w:val="single" w:color="auto" w:sz="4" w:space="0"/>
              <w:bottom w:val="single" w:color="auto" w:sz="4" w:space="0"/>
              <w:right w:val="single" w:color="auto" w:sz="4" w:space="0"/>
            </w:tcBorders>
            <w:vAlign w:val="center"/>
          </w:tcPr>
          <w:p w14:paraId="66DEF1FA">
            <w:pPr>
              <w:pStyle w:val="10"/>
              <w:spacing w:line="240" w:lineRule="auto"/>
              <w:contextualSpacing/>
              <w:rPr>
                <w:rFonts w:ascii="黑体" w:hAnsi="黑体" w:eastAsia="黑体" w:cs="黑体"/>
                <w:kern w:val="2"/>
                <w:sz w:val="22"/>
                <w:szCs w:val="22"/>
                <w:lang w:val="en-US" w:eastAsia="zh-CN" w:bidi="ar-SA"/>
              </w:rPr>
            </w:pPr>
            <w:r>
              <w:rPr>
                <w:rFonts w:ascii="黑体" w:hAnsi="黑体" w:eastAsia="黑体" w:cs="黑体"/>
                <w:kern w:val="2"/>
                <w:sz w:val="22"/>
                <w:szCs w:val="22"/>
                <w:lang w:val="en-US" w:eastAsia="zh-CN" w:bidi="ar-SA"/>
              </w:rPr>
              <w:t>11480.00</w:t>
            </w:r>
          </w:p>
        </w:tc>
        <w:tc>
          <w:tcPr>
            <w:tcW w:w="852" w:type="dxa"/>
            <w:tcBorders>
              <w:top w:val="single" w:color="auto" w:sz="4" w:space="0"/>
              <w:left w:val="single" w:color="auto" w:sz="4" w:space="0"/>
              <w:bottom w:val="single" w:color="auto" w:sz="4" w:space="0"/>
              <w:right w:val="single" w:color="auto" w:sz="4" w:space="0"/>
            </w:tcBorders>
            <w:vAlign w:val="center"/>
          </w:tcPr>
          <w:p w14:paraId="475D56CA">
            <w:pPr>
              <w:pStyle w:val="10"/>
              <w:spacing w:line="240" w:lineRule="auto"/>
              <w:contextualSpacing/>
              <w:rPr>
                <w:rFonts w:hint="default" w:ascii="黑体" w:hAnsi="黑体" w:eastAsia="黑体" w:cs="黑体"/>
                <w:sz w:val="22"/>
                <w:szCs w:val="22"/>
                <w:lang w:val="en-US" w:eastAsia="zh-CN"/>
              </w:rPr>
            </w:pPr>
          </w:p>
        </w:tc>
      </w:tr>
      <w:tr w14:paraId="4570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44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C7E8C62">
            <w:pPr>
              <w:tabs>
                <w:tab w:val="left" w:pos="574"/>
              </w:tabs>
              <w:jc w:val="left"/>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注：1、</w:t>
            </w:r>
            <w:r>
              <w:rPr>
                <w:rFonts w:hint="eastAsia" w:ascii="黑体" w:hAnsi="黑体" w:eastAsia="黑体" w:cs="黑体"/>
                <w:color w:val="FF0000"/>
                <w:szCs w:val="21"/>
                <w:highlight w:val="none"/>
                <w:lang w:val="en-US" w:eastAsia="zh-CN"/>
              </w:rPr>
              <w:t>最少提供一年质保</w:t>
            </w:r>
            <w:r>
              <w:rPr>
                <w:rFonts w:hint="eastAsia" w:ascii="黑体" w:hAnsi="黑体" w:eastAsia="黑体" w:cs="黑体"/>
                <w:color w:val="FF0000"/>
                <w:szCs w:val="21"/>
                <w:highlight w:val="none"/>
              </w:rPr>
              <w:t>（自验收合格日起计算）</w:t>
            </w:r>
          </w:p>
        </w:tc>
      </w:tr>
      <w:tr w14:paraId="4C6E9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44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2A7488B2">
            <w:pPr>
              <w:tabs>
                <w:tab w:val="left" w:pos="574"/>
              </w:tabs>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 xml:space="preserve">    2、本次采购含货物供货、安装调试，并负责设备后期维护</w:t>
            </w:r>
          </w:p>
        </w:tc>
      </w:tr>
    </w:tbl>
    <w:p w14:paraId="52D709EC">
      <w:pPr>
        <w:numPr>
          <w:ilvl w:val="0"/>
          <w:numId w:val="0"/>
        </w:numPr>
        <w:tabs>
          <w:tab w:val="left" w:pos="7020"/>
        </w:tabs>
        <w:spacing w:line="440" w:lineRule="exact"/>
        <w:jc w:val="center"/>
        <w:rPr>
          <w:rFonts w:hint="eastAsia" w:ascii="宋体" w:hAnsi="宋体"/>
          <w:b/>
          <w:sz w:val="36"/>
          <w:szCs w:val="36"/>
          <w:lang w:val="en-US" w:eastAsia="zh-CN"/>
        </w:rPr>
      </w:pPr>
    </w:p>
    <w:p w14:paraId="15675B4A">
      <w:pPr>
        <w:numPr>
          <w:ilvl w:val="0"/>
          <w:numId w:val="0"/>
        </w:numPr>
        <w:tabs>
          <w:tab w:val="left" w:pos="7020"/>
        </w:tabs>
        <w:spacing w:line="440" w:lineRule="exact"/>
        <w:jc w:val="center"/>
        <w:rPr>
          <w:rFonts w:hint="eastAsia" w:ascii="宋体" w:hAnsi="宋体"/>
          <w:b/>
          <w:sz w:val="36"/>
          <w:szCs w:val="36"/>
          <w:lang w:val="en-US" w:eastAsia="zh-CN"/>
        </w:rPr>
      </w:pPr>
    </w:p>
    <w:p w14:paraId="16284714">
      <w:pPr>
        <w:numPr>
          <w:ilvl w:val="0"/>
          <w:numId w:val="0"/>
        </w:numPr>
        <w:tabs>
          <w:tab w:val="left" w:pos="7020"/>
        </w:tabs>
        <w:spacing w:line="440" w:lineRule="exact"/>
        <w:jc w:val="center"/>
        <w:rPr>
          <w:sz w:val="36"/>
          <w:szCs w:val="36"/>
        </w:rPr>
      </w:pPr>
      <w:r>
        <w:rPr>
          <w:rFonts w:hint="eastAsia" w:ascii="宋体" w:hAnsi="宋体"/>
          <w:b/>
          <w:sz w:val="36"/>
          <w:szCs w:val="36"/>
          <w:lang w:val="en-US" w:eastAsia="zh-CN"/>
        </w:rPr>
        <w:t>二、</w:t>
      </w:r>
      <w:r>
        <w:rPr>
          <w:rFonts w:hint="eastAsia" w:ascii="宋体" w:hAnsi="宋体"/>
          <w:b/>
          <w:sz w:val="36"/>
          <w:szCs w:val="36"/>
        </w:rPr>
        <w:t>商务要求</w:t>
      </w:r>
    </w:p>
    <w:p w14:paraId="1E5722CF">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w:t>
      </w:r>
      <w:bookmarkStart w:id="0" w:name="_GoBack"/>
      <w:bookmarkEnd w:id="0"/>
      <w:r>
        <w:rPr>
          <w:rFonts w:hint="eastAsia" w:ascii="宋体" w:hAnsi="宋体"/>
          <w:sz w:val="24"/>
        </w:rPr>
        <w:t>话）相一致。若招标文件及投标文件中无相应说明，则以国家有关部门最新颁布的相应标准及规范为准。</w:t>
      </w:r>
    </w:p>
    <w:p w14:paraId="2F498B38">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742C1870">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09C7D0B1">
      <w:pPr>
        <w:tabs>
          <w:tab w:val="left" w:pos="7020"/>
        </w:tabs>
        <w:spacing w:line="440" w:lineRule="exact"/>
        <w:ind w:firstLine="480" w:firstLineChars="200"/>
        <w:rPr>
          <w:rFonts w:ascii="宋体" w:hAnsi="宋体"/>
          <w:sz w:val="24"/>
        </w:rPr>
      </w:pPr>
      <w:r>
        <w:rPr>
          <w:rFonts w:hint="eastAsia" w:ascii="宋体" w:hAnsi="宋体"/>
          <w:sz w:val="24"/>
        </w:rPr>
        <w:t>3.1产品质保期：供应商须自验收合格之日起计算</w:t>
      </w:r>
      <w:r>
        <w:rPr>
          <w:rFonts w:hint="default" w:ascii="宋体" w:hAnsi="宋体"/>
          <w:sz w:val="24"/>
          <w:lang w:val="en-US"/>
        </w:rPr>
        <w:t>，质保一年</w:t>
      </w:r>
      <w:r>
        <w:rPr>
          <w:rFonts w:hint="eastAsia" w:ascii="宋体" w:hAnsi="宋体"/>
          <w:sz w:val="24"/>
          <w:lang w:val="en-US" w:eastAsia="zh-CN"/>
        </w:rPr>
        <w:t>，</w:t>
      </w:r>
      <w:r>
        <w:rPr>
          <w:rFonts w:hint="eastAsia" w:ascii="宋体" w:hAnsi="宋体"/>
          <w:sz w:val="24"/>
        </w:rPr>
        <w:t>质保期内出现质量问题，成交供应商负责包修、包退、包换，所有质保费用均已包含在总报价中。</w:t>
      </w:r>
    </w:p>
    <w:p w14:paraId="6EACA38D">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729510AA">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23048EBF">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4B3D0591">
      <w:pPr>
        <w:tabs>
          <w:tab w:val="left" w:pos="7020"/>
        </w:tabs>
        <w:spacing w:line="440" w:lineRule="exact"/>
        <w:ind w:firstLine="480" w:firstLineChars="200"/>
        <w:rPr>
          <w:rFonts w:hint="eastAsia" w:ascii="宋体" w:hAnsi="宋体"/>
          <w:color w:val="FF0000"/>
          <w:sz w:val="24"/>
          <w:u w:val="single"/>
        </w:rPr>
      </w:pPr>
      <w:r>
        <w:rPr>
          <w:rFonts w:hint="eastAsia" w:ascii="宋体" w:hAnsi="宋体"/>
          <w:color w:val="FF0000"/>
          <w:sz w:val="24"/>
        </w:rPr>
        <w:t>5、付款方式：</w:t>
      </w:r>
      <w:r>
        <w:rPr>
          <w:rFonts w:hint="eastAsia" w:ascii="宋体" w:hAnsi="宋体"/>
          <w:color w:val="FF0000"/>
          <w:sz w:val="24"/>
          <w:u w:val="single"/>
        </w:rPr>
        <w:t>乙方供货并安装调试完毕，自甲方验收合格，乙方提供正规发票后，甲方向乙方支付合同金额。</w:t>
      </w:r>
    </w:p>
    <w:p w14:paraId="52DF13E7">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61A41140">
      <w:pPr>
        <w:rPr>
          <w:sz w:val="28"/>
          <w:szCs w:val="28"/>
        </w:rPr>
      </w:pPr>
    </w:p>
    <w:sectPr>
      <w:pgSz w:w="11906" w:h="16838"/>
      <w:pgMar w:top="1440" w:right="1519" w:bottom="1440" w:left="1519"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2F7D26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8">
    <w:name w:val="Default Paragraph Font"/>
    <w:qFormat/>
    <w:uiPriority w:val="1"/>
  </w:style>
  <w:style w:type="table" w:default="1" w:styleId="7">
    <w:name w:val="Normal Table"/>
    <w:qFormat/>
    <w:uiPriority w:val="99"/>
    <w:tblPr>
      <w:tblCellMar>
        <w:top w:w="0" w:type="dxa"/>
        <w:left w:w="108" w:type="dxa"/>
        <w:bottom w:w="0" w:type="dxa"/>
        <w:right w:w="108" w:type="dxa"/>
      </w:tblCellMar>
    </w:tblPr>
  </w:style>
  <w:style w:type="paragraph" w:styleId="2">
    <w:name w:val="Body Text Indent"/>
    <w:basedOn w:val="1"/>
    <w:next w:val="3"/>
    <w:qFormat/>
    <w:uiPriority w:val="99"/>
    <w:pPr>
      <w:ind w:firstLine="645"/>
    </w:pPr>
    <w:rPr>
      <w:rFonts w:ascii="Times New Roman" w:hAnsi="Times New Roman"/>
      <w:sz w:val="20"/>
    </w:rPr>
  </w:style>
  <w:style w:type="paragraph" w:styleId="3">
    <w:name w:val="envelope return"/>
    <w:basedOn w:val="1"/>
    <w:qFormat/>
    <w:uiPriority w:val="99"/>
    <w:pPr>
      <w:snapToGrid w:val="0"/>
    </w:pPr>
    <w:rPr>
      <w:rFonts w:ascii="Arial" w:hAnsi="Arial"/>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qFormat/>
    <w:uiPriority w:val="0"/>
    <w:rPr>
      <w:rFonts w:ascii="Calibri" w:hAnsi="Calibri" w:eastAsia="宋体" w:cs="宋体"/>
      <w:kern w:val="2"/>
      <w:sz w:val="18"/>
      <w:szCs w:val="18"/>
    </w:rPr>
  </w:style>
  <w:style w:type="character" w:customStyle="1" w:styleId="12">
    <w:name w:val="页脚 字符"/>
    <w:basedOn w:val="8"/>
    <w:link w:val="4"/>
    <w:qFormat/>
    <w:uiPriority w:val="0"/>
    <w:rPr>
      <w:rFonts w:ascii="Calibri" w:hAnsi="Calibri" w:eastAsia="宋体" w:cs="宋体"/>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787</Words>
  <Characters>836</Characters>
  <Paragraphs>111</Paragraphs>
  <TotalTime>16</TotalTime>
  <ScaleCrop>false</ScaleCrop>
  <LinksUpToDate>false</LinksUpToDate>
  <CharactersWithSpaces>934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2026-05-12T07:31:19Z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65DF1C840CC64ADFBF964BC1098C50E0_13</vt:lpwstr>
  </property>
  <property fmtid="{D5CDD505-2E9C-101B-9397-08002B2CF9AE}" pid="4" name="KSOTemplateDocerSaveRecord">
    <vt:lpwstr>eyJoZGlkIjoiNTI5YmVkMDJiOTkxMWE5ZmE1MDUxZTFlMzBmM2YzMjkiLCJ1c2VySWQiOiI1MDUzMzk5MDkifQ==</vt:lpwstr>
  </property>
</Properties>
</file>