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E652A">
      <w:pPr>
        <w:jc w:val="both"/>
        <w:rPr>
          <w:rFonts w:hint="eastAsia" w:ascii="宋体" w:hAnsi="宋体" w:eastAsia="宋体" w:cs="宋体"/>
          <w:b w:val="0"/>
          <w:color w:val="auto"/>
          <w:kern w:val="0"/>
          <w:sz w:val="32"/>
          <w:szCs w:val="32"/>
          <w:highlight w:val="none"/>
          <w:lang w:val="en-US" w:eastAsia="zh-CN" w:bidi="ar"/>
        </w:rPr>
      </w:pPr>
      <w:r>
        <w:rPr>
          <w:rFonts w:hint="eastAsia" w:ascii="宋体" w:hAnsi="宋体" w:eastAsia="宋体" w:cs="宋体"/>
          <w:b w:val="0"/>
          <w:color w:val="auto"/>
          <w:kern w:val="0"/>
          <w:sz w:val="32"/>
          <w:szCs w:val="32"/>
          <w:highlight w:val="none"/>
          <w:lang w:val="en-US" w:eastAsia="zh-CN" w:bidi="ar"/>
        </w:rPr>
        <w:t>附件1：</w:t>
      </w:r>
    </w:p>
    <w:p w14:paraId="1DA252B1">
      <w:pPr>
        <w:jc w:val="center"/>
        <w:rPr>
          <w:rFonts w:hint="eastAsia" w:ascii="宋体" w:hAnsi="宋体" w:eastAsia="宋体" w:cs="宋体"/>
          <w:b/>
          <w:sz w:val="32"/>
          <w:szCs w:val="32"/>
        </w:rPr>
      </w:pPr>
      <w:r>
        <w:rPr>
          <w:rFonts w:hint="eastAsia" w:ascii="宋体" w:hAnsi="宋体" w:eastAsia="宋体" w:cs="宋体"/>
          <w:b/>
          <w:sz w:val="32"/>
          <w:szCs w:val="32"/>
        </w:rPr>
        <w:t>采购清单及服务参数</w:t>
      </w:r>
    </w:p>
    <w:p w14:paraId="30493535">
      <w:pPr>
        <w:pStyle w:val="2"/>
        <w:rPr>
          <w:rFonts w:hint="eastAsia"/>
        </w:rPr>
      </w:pPr>
    </w:p>
    <w:tbl>
      <w:tblPr>
        <w:tblStyle w:val="5"/>
        <w:tblW w:w="11338"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34"/>
        <w:gridCol w:w="2152"/>
        <w:gridCol w:w="3948"/>
        <w:gridCol w:w="1057"/>
        <w:gridCol w:w="2157"/>
        <w:gridCol w:w="1190"/>
      </w:tblGrid>
      <w:tr w14:paraId="5A680E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5" w:hRule="atLeast"/>
          <w:jc w:val="center"/>
        </w:trPr>
        <w:tc>
          <w:tcPr>
            <w:tcW w:w="834" w:type="dxa"/>
            <w:tcBorders>
              <w:top w:val="single" w:color="auto" w:sz="4" w:space="0"/>
              <w:left w:val="single" w:color="auto" w:sz="4" w:space="0"/>
              <w:bottom w:val="single" w:color="auto" w:sz="6" w:space="0"/>
              <w:right w:val="single" w:color="auto" w:sz="6" w:space="0"/>
            </w:tcBorders>
            <w:vAlign w:val="center"/>
          </w:tcPr>
          <w:p w14:paraId="5B4DE1CE">
            <w:pPr>
              <w:jc w:val="center"/>
              <w:rPr>
                <w:rFonts w:ascii="仿宋" w:hAnsi="仿宋" w:eastAsia="仿宋" w:cs="宋体"/>
                <w:b/>
                <w:bCs/>
                <w:sz w:val="24"/>
                <w:szCs w:val="24"/>
              </w:rPr>
            </w:pPr>
            <w:r>
              <w:rPr>
                <w:rFonts w:hint="eastAsia" w:ascii="仿宋" w:hAnsi="仿宋" w:eastAsia="仿宋" w:cs="宋体"/>
                <w:b/>
                <w:bCs/>
                <w:sz w:val="24"/>
                <w:szCs w:val="24"/>
              </w:rPr>
              <w:t>序号</w:t>
            </w:r>
          </w:p>
        </w:tc>
        <w:tc>
          <w:tcPr>
            <w:tcW w:w="2152" w:type="dxa"/>
            <w:tcBorders>
              <w:top w:val="single" w:color="auto" w:sz="4" w:space="0"/>
              <w:left w:val="single" w:color="auto" w:sz="6" w:space="0"/>
              <w:bottom w:val="single" w:color="auto" w:sz="6" w:space="0"/>
              <w:right w:val="single" w:color="auto" w:sz="6" w:space="0"/>
            </w:tcBorders>
            <w:vAlign w:val="center"/>
          </w:tcPr>
          <w:p w14:paraId="7F0961AA">
            <w:pPr>
              <w:widowControl/>
              <w:spacing w:line="320" w:lineRule="exact"/>
              <w:jc w:val="center"/>
              <w:rPr>
                <w:rFonts w:ascii="仿宋" w:hAnsi="仿宋" w:eastAsia="仿宋" w:cs="宋体"/>
                <w:b/>
                <w:bCs/>
                <w:sz w:val="24"/>
                <w:szCs w:val="24"/>
              </w:rPr>
            </w:pPr>
            <w:r>
              <w:rPr>
                <w:rFonts w:hint="eastAsia" w:ascii="仿宋" w:hAnsi="仿宋" w:eastAsia="仿宋" w:cs="宋体"/>
                <w:b/>
                <w:bCs/>
                <w:sz w:val="24"/>
                <w:szCs w:val="24"/>
              </w:rPr>
              <w:t>项目名称</w:t>
            </w:r>
          </w:p>
        </w:tc>
        <w:tc>
          <w:tcPr>
            <w:tcW w:w="3948" w:type="dxa"/>
            <w:tcBorders>
              <w:top w:val="single" w:color="auto" w:sz="4" w:space="0"/>
              <w:left w:val="single" w:color="auto" w:sz="6" w:space="0"/>
              <w:bottom w:val="single" w:color="auto" w:sz="6" w:space="0"/>
              <w:right w:val="single" w:color="auto" w:sz="6" w:space="0"/>
            </w:tcBorders>
            <w:vAlign w:val="center"/>
          </w:tcPr>
          <w:p w14:paraId="1A750095">
            <w:pPr>
              <w:widowControl/>
              <w:spacing w:line="320" w:lineRule="exact"/>
              <w:jc w:val="center"/>
              <w:rPr>
                <w:rFonts w:ascii="仿宋" w:hAnsi="仿宋" w:eastAsia="仿宋" w:cs="宋体"/>
                <w:b/>
                <w:bCs/>
                <w:sz w:val="24"/>
                <w:szCs w:val="24"/>
              </w:rPr>
            </w:pPr>
            <w:r>
              <w:rPr>
                <w:rFonts w:hint="eastAsia" w:ascii="仿宋" w:hAnsi="仿宋" w:eastAsia="仿宋" w:cs="宋体"/>
                <w:b/>
                <w:bCs/>
                <w:sz w:val="24"/>
                <w:szCs w:val="24"/>
              </w:rPr>
              <w:t>服 务 参 数</w:t>
            </w:r>
          </w:p>
        </w:tc>
        <w:tc>
          <w:tcPr>
            <w:tcW w:w="1057" w:type="dxa"/>
            <w:tcBorders>
              <w:top w:val="single" w:color="auto" w:sz="4" w:space="0"/>
              <w:left w:val="single" w:color="auto" w:sz="6" w:space="0"/>
              <w:bottom w:val="single" w:color="auto" w:sz="6" w:space="0"/>
              <w:right w:val="single" w:color="auto" w:sz="6" w:space="0"/>
            </w:tcBorders>
            <w:vAlign w:val="center"/>
          </w:tcPr>
          <w:p w14:paraId="1BD754F3">
            <w:pPr>
              <w:widowControl/>
              <w:spacing w:line="320" w:lineRule="exact"/>
              <w:jc w:val="center"/>
              <w:rPr>
                <w:rFonts w:hint="eastAsia" w:ascii="仿宋" w:hAnsi="仿宋" w:eastAsia="仿宋" w:cs="宋体"/>
                <w:b/>
                <w:bCs/>
                <w:kern w:val="0"/>
                <w:sz w:val="24"/>
                <w:szCs w:val="24"/>
                <w:lang w:eastAsia="zh-CN"/>
              </w:rPr>
            </w:pPr>
            <w:r>
              <w:rPr>
                <w:rFonts w:hint="eastAsia" w:ascii="仿宋" w:hAnsi="仿宋" w:eastAsia="仿宋" w:cs="宋体"/>
                <w:b/>
                <w:bCs/>
                <w:kern w:val="0"/>
                <w:sz w:val="24"/>
                <w:szCs w:val="24"/>
                <w:lang w:eastAsia="zh-CN"/>
              </w:rPr>
              <w:t>标准</w:t>
            </w:r>
          </w:p>
        </w:tc>
        <w:tc>
          <w:tcPr>
            <w:tcW w:w="2157" w:type="dxa"/>
            <w:tcBorders>
              <w:top w:val="single" w:color="auto" w:sz="4" w:space="0"/>
              <w:left w:val="single" w:color="auto" w:sz="6" w:space="0"/>
              <w:bottom w:val="single" w:color="auto" w:sz="6" w:space="0"/>
              <w:right w:val="single" w:color="auto" w:sz="4" w:space="0"/>
            </w:tcBorders>
            <w:vAlign w:val="center"/>
          </w:tcPr>
          <w:p w14:paraId="6307A3AC">
            <w:pPr>
              <w:widowControl/>
              <w:tabs>
                <w:tab w:val="left" w:pos="1667"/>
              </w:tabs>
              <w:spacing w:line="320" w:lineRule="exact"/>
              <w:ind w:right="430" w:rightChars="205"/>
              <w:jc w:val="center"/>
              <w:rPr>
                <w:rFonts w:hint="eastAsia" w:ascii="仿宋" w:hAnsi="仿宋" w:eastAsia="仿宋" w:cs="宋体"/>
                <w:b/>
                <w:bCs/>
                <w:sz w:val="24"/>
                <w:szCs w:val="24"/>
                <w:lang w:eastAsia="zh-CN"/>
              </w:rPr>
            </w:pPr>
            <w:r>
              <w:rPr>
                <w:rFonts w:hint="eastAsia" w:ascii="仿宋" w:hAnsi="仿宋" w:eastAsia="仿宋" w:cs="宋体"/>
                <w:b/>
                <w:bCs/>
                <w:sz w:val="24"/>
                <w:szCs w:val="24"/>
                <w:lang w:eastAsia="zh-CN"/>
              </w:rPr>
              <w:t>备注</w:t>
            </w:r>
          </w:p>
        </w:tc>
        <w:tc>
          <w:tcPr>
            <w:tcW w:w="1190" w:type="dxa"/>
            <w:tcBorders>
              <w:top w:val="single" w:color="auto" w:sz="4" w:space="0"/>
              <w:left w:val="single" w:color="auto" w:sz="6" w:space="0"/>
              <w:bottom w:val="single" w:color="auto" w:sz="6" w:space="0"/>
              <w:right w:val="single" w:color="auto" w:sz="4" w:space="0"/>
            </w:tcBorders>
            <w:vAlign w:val="center"/>
          </w:tcPr>
          <w:p w14:paraId="59A22B8D">
            <w:pPr>
              <w:widowControl/>
              <w:tabs>
                <w:tab w:val="left" w:pos="1667"/>
              </w:tabs>
              <w:spacing w:line="320" w:lineRule="exact"/>
              <w:ind w:right="430" w:rightChars="205"/>
              <w:jc w:val="center"/>
              <w:rPr>
                <w:rFonts w:hint="eastAsia" w:ascii="仿宋" w:hAnsi="仿宋" w:eastAsia="仿宋" w:cs="宋体"/>
                <w:b/>
                <w:bCs/>
                <w:sz w:val="24"/>
                <w:szCs w:val="24"/>
                <w:lang w:eastAsia="zh-CN"/>
              </w:rPr>
            </w:pPr>
            <w:r>
              <w:rPr>
                <w:rFonts w:hint="eastAsia" w:ascii="仿宋" w:hAnsi="仿宋" w:eastAsia="仿宋" w:cs="宋体"/>
                <w:b/>
                <w:bCs/>
                <w:sz w:val="24"/>
                <w:szCs w:val="24"/>
                <w:lang w:eastAsia="zh-CN"/>
              </w:rPr>
              <w:t>维护频次</w:t>
            </w:r>
          </w:p>
        </w:tc>
      </w:tr>
      <w:tr w14:paraId="203409D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04" w:hRule="atLeast"/>
          <w:jc w:val="center"/>
        </w:trPr>
        <w:tc>
          <w:tcPr>
            <w:tcW w:w="834" w:type="dxa"/>
            <w:tcBorders>
              <w:top w:val="single" w:color="auto" w:sz="6" w:space="0"/>
              <w:left w:val="single" w:color="auto" w:sz="4" w:space="0"/>
              <w:bottom w:val="single" w:color="auto" w:sz="6" w:space="0"/>
              <w:right w:val="single" w:color="auto" w:sz="6" w:space="0"/>
            </w:tcBorders>
            <w:vAlign w:val="center"/>
          </w:tcPr>
          <w:p w14:paraId="38564D96">
            <w:pPr>
              <w:jc w:val="center"/>
              <w:rPr>
                <w:rFonts w:ascii="仿宋" w:hAnsi="仿宋" w:eastAsia="仿宋" w:cs="宋体"/>
                <w:b/>
                <w:bCs/>
                <w:sz w:val="24"/>
                <w:szCs w:val="24"/>
              </w:rPr>
            </w:pPr>
            <w:r>
              <w:rPr>
                <w:rFonts w:hint="eastAsia" w:ascii="仿宋" w:hAnsi="仿宋" w:eastAsia="仿宋" w:cs="宋体"/>
                <w:b/>
                <w:bCs/>
                <w:sz w:val="24"/>
                <w:szCs w:val="24"/>
              </w:rPr>
              <w:t>1</w:t>
            </w:r>
          </w:p>
        </w:tc>
        <w:tc>
          <w:tcPr>
            <w:tcW w:w="2152" w:type="dxa"/>
            <w:tcBorders>
              <w:top w:val="single" w:color="auto" w:sz="6" w:space="0"/>
              <w:left w:val="single" w:color="auto" w:sz="6" w:space="0"/>
              <w:bottom w:val="single" w:color="auto" w:sz="6" w:space="0"/>
              <w:right w:val="single" w:color="auto" w:sz="6" w:space="0"/>
            </w:tcBorders>
            <w:vAlign w:val="center"/>
          </w:tcPr>
          <w:p w14:paraId="03EBFCEB">
            <w:pPr>
              <w:widowControl/>
              <w:spacing w:line="320" w:lineRule="exact"/>
              <w:jc w:val="center"/>
              <w:rPr>
                <w:rFonts w:hint="eastAsia" w:ascii="仿宋" w:hAnsi="仿宋" w:eastAsia="仿宋" w:cs="宋体"/>
                <w:b/>
                <w:bCs/>
                <w:sz w:val="24"/>
                <w:szCs w:val="24"/>
              </w:rPr>
            </w:pPr>
            <w:r>
              <w:rPr>
                <w:rFonts w:hint="eastAsia" w:ascii="仿宋" w:hAnsi="仿宋" w:eastAsia="仿宋" w:cs="宋体"/>
                <w:b/>
                <w:bCs/>
                <w:sz w:val="24"/>
                <w:szCs w:val="24"/>
              </w:rPr>
              <w:t>固定式灭鼠</w:t>
            </w:r>
            <w:r>
              <w:rPr>
                <w:rFonts w:hint="eastAsia" w:ascii="仿宋" w:hAnsi="仿宋" w:eastAsia="仿宋" w:cs="宋体"/>
                <w:b/>
                <w:bCs/>
                <w:sz w:val="24"/>
                <w:szCs w:val="24"/>
                <w:lang w:eastAsia="zh-CN"/>
              </w:rPr>
              <w:t>诱</w:t>
            </w:r>
            <w:r>
              <w:rPr>
                <w:rFonts w:hint="eastAsia" w:ascii="仿宋" w:hAnsi="仿宋" w:eastAsia="仿宋" w:cs="宋体"/>
                <w:b/>
                <w:bCs/>
                <w:sz w:val="24"/>
                <w:szCs w:val="24"/>
              </w:rPr>
              <w:t>饵站安装</w:t>
            </w:r>
          </w:p>
          <w:p w14:paraId="5AF1D62E">
            <w:pPr>
              <w:spacing w:after="120"/>
              <w:ind w:firstLine="241" w:firstLineChars="100"/>
              <w:rPr>
                <w:rFonts w:ascii="仿宋" w:hAnsi="仿宋" w:eastAsia="仿宋" w:cs="宋体"/>
                <w:b/>
                <w:bCs/>
                <w:sz w:val="24"/>
                <w:szCs w:val="24"/>
              </w:rPr>
            </w:pPr>
            <w:r>
              <w:rPr>
                <w:rFonts w:ascii="仿宋" w:hAnsi="仿宋" w:eastAsia="仿宋" w:cs="宋体"/>
                <w:b/>
                <w:bCs/>
                <w:sz w:val="24"/>
                <w:szCs w:val="24"/>
              </w:rPr>
              <w:t>（警示标签）</w:t>
            </w:r>
          </w:p>
        </w:tc>
        <w:tc>
          <w:tcPr>
            <w:tcW w:w="3948" w:type="dxa"/>
            <w:tcBorders>
              <w:top w:val="single" w:color="auto" w:sz="6" w:space="0"/>
              <w:left w:val="single" w:color="auto" w:sz="6" w:space="0"/>
              <w:bottom w:val="single" w:color="auto" w:sz="6" w:space="0"/>
              <w:right w:val="single" w:color="auto" w:sz="6" w:space="0"/>
            </w:tcBorders>
            <w:vAlign w:val="center"/>
          </w:tcPr>
          <w:p w14:paraId="7D676940">
            <w:pPr>
              <w:rPr>
                <w:rFonts w:hint="eastAsia" w:ascii="仿宋" w:hAnsi="仿宋" w:eastAsia="仿宋" w:cs="宋体"/>
                <w:sz w:val="24"/>
                <w:szCs w:val="24"/>
              </w:rPr>
            </w:pPr>
            <w:r>
              <w:rPr>
                <w:rFonts w:hint="eastAsia" w:ascii="仿宋" w:hAnsi="仿宋" w:eastAsia="仿宋" w:cs="宋体"/>
                <w:sz w:val="24"/>
                <w:szCs w:val="24"/>
              </w:rPr>
              <w:t>主要材料：</w:t>
            </w:r>
            <w:r>
              <w:rPr>
                <w:rFonts w:hint="eastAsia" w:ascii="仿宋" w:hAnsi="仿宋" w:eastAsia="仿宋" w:cs="宋体"/>
                <w:sz w:val="24"/>
                <w:szCs w:val="24"/>
                <w:lang w:eastAsia="zh-CN"/>
              </w:rPr>
              <w:t>砂浆</w:t>
            </w:r>
            <w:r>
              <w:rPr>
                <w:rFonts w:hint="eastAsia" w:ascii="仿宋" w:hAnsi="仿宋" w:eastAsia="仿宋" w:cs="宋体"/>
                <w:sz w:val="24"/>
                <w:szCs w:val="24"/>
              </w:rPr>
              <w:t>、水泥、警示标示、灭鼠毒饵；</w:t>
            </w:r>
          </w:p>
          <w:p w14:paraId="206AED72">
            <w:pPr>
              <w:rPr>
                <w:rFonts w:hint="eastAsia" w:ascii="仿宋" w:hAnsi="仿宋" w:eastAsia="仿宋" w:cs="宋体"/>
                <w:sz w:val="24"/>
                <w:szCs w:val="24"/>
              </w:rPr>
            </w:pPr>
            <w:r>
              <w:rPr>
                <w:rFonts w:hint="eastAsia" w:ascii="仿宋" w:hAnsi="仿宋" w:eastAsia="仿宋" w:cs="宋体"/>
                <w:sz w:val="24"/>
                <w:szCs w:val="24"/>
              </w:rPr>
              <w:t>警示标签：防晒PVC；</w:t>
            </w:r>
          </w:p>
          <w:p w14:paraId="6A0E873B">
            <w:pPr>
              <w:rPr>
                <w:rFonts w:hint="eastAsia" w:ascii="仿宋" w:hAnsi="仿宋" w:eastAsia="仿宋" w:cs="宋体"/>
                <w:sz w:val="24"/>
                <w:szCs w:val="24"/>
              </w:rPr>
            </w:pPr>
            <w:r>
              <w:rPr>
                <w:rFonts w:hint="eastAsia" w:ascii="仿宋" w:hAnsi="仿宋" w:eastAsia="仿宋" w:cs="宋体"/>
                <w:sz w:val="24"/>
                <w:szCs w:val="24"/>
              </w:rPr>
              <w:t>产品规格：灭鼠诱饵站外尺寸</w:t>
            </w:r>
            <w:r>
              <w:rPr>
                <w:rFonts w:hint="eastAsia" w:ascii="仿宋" w:hAnsi="仿宋" w:eastAsia="仿宋" w:cs="宋体"/>
                <w:sz w:val="24"/>
                <w:szCs w:val="24"/>
                <w:lang w:eastAsia="zh-CN"/>
              </w:rPr>
              <w:t>：</w:t>
            </w:r>
            <w:r>
              <w:rPr>
                <w:rFonts w:hint="eastAsia" w:ascii="仿宋" w:hAnsi="仿宋" w:eastAsia="仿宋" w:cs="宋体"/>
                <w:sz w:val="24"/>
                <w:szCs w:val="24"/>
              </w:rPr>
              <w:t>长</w:t>
            </w:r>
            <w:r>
              <w:rPr>
                <w:rFonts w:hint="eastAsia" w:ascii="仿宋" w:hAnsi="仿宋" w:eastAsia="仿宋" w:cs="宋体"/>
                <w:sz w:val="24"/>
                <w:szCs w:val="24"/>
                <w:lang w:val="en-US" w:eastAsia="zh-CN"/>
              </w:rPr>
              <w:t>度</w:t>
            </w:r>
            <w:r>
              <w:rPr>
                <w:rFonts w:hint="eastAsia" w:ascii="仿宋" w:hAnsi="仿宋" w:eastAsia="仿宋" w:cs="宋体"/>
                <w:sz w:val="24"/>
                <w:szCs w:val="24"/>
              </w:rPr>
              <w:t>≥2</w:t>
            </w:r>
            <w:r>
              <w:rPr>
                <w:rFonts w:hint="eastAsia" w:ascii="仿宋" w:hAnsi="仿宋" w:eastAsia="仿宋" w:cs="宋体"/>
                <w:sz w:val="24"/>
                <w:szCs w:val="24"/>
                <w:lang w:val="en-US" w:eastAsia="zh-CN"/>
              </w:rPr>
              <w:t>8</w:t>
            </w:r>
            <w:r>
              <w:rPr>
                <w:rFonts w:hint="eastAsia" w:ascii="仿宋" w:hAnsi="仿宋" w:eastAsia="仿宋" w:cs="宋体"/>
                <w:sz w:val="24"/>
                <w:szCs w:val="24"/>
              </w:rPr>
              <w:t>cm</w:t>
            </w:r>
            <w:r>
              <w:rPr>
                <w:rFonts w:hint="eastAsia" w:ascii="仿宋" w:hAnsi="仿宋" w:eastAsia="仿宋" w:cs="宋体"/>
                <w:sz w:val="24"/>
                <w:szCs w:val="24"/>
                <w:lang w:eastAsia="zh-CN"/>
              </w:rPr>
              <w:t>；宽</w:t>
            </w:r>
            <w:r>
              <w:rPr>
                <w:rFonts w:hint="eastAsia" w:ascii="仿宋" w:hAnsi="仿宋" w:eastAsia="仿宋" w:cs="宋体"/>
                <w:sz w:val="24"/>
                <w:szCs w:val="24"/>
                <w:lang w:val="en-US" w:eastAsia="zh-CN"/>
              </w:rPr>
              <w:t>度</w:t>
            </w:r>
            <w:r>
              <w:rPr>
                <w:rFonts w:hint="eastAsia" w:ascii="仿宋" w:hAnsi="仿宋" w:eastAsia="仿宋" w:cs="宋体"/>
                <w:sz w:val="24"/>
                <w:szCs w:val="24"/>
              </w:rPr>
              <w:t>≥</w:t>
            </w:r>
            <w:r>
              <w:rPr>
                <w:rFonts w:hint="eastAsia" w:ascii="仿宋" w:hAnsi="仿宋" w:eastAsia="仿宋" w:cs="宋体"/>
                <w:sz w:val="24"/>
                <w:szCs w:val="24"/>
                <w:lang w:val="en-US" w:eastAsia="zh-CN"/>
              </w:rPr>
              <w:t>10</w:t>
            </w:r>
            <w:r>
              <w:rPr>
                <w:rFonts w:hint="eastAsia" w:ascii="仿宋" w:hAnsi="仿宋" w:eastAsia="仿宋" w:cs="宋体"/>
                <w:sz w:val="24"/>
                <w:szCs w:val="24"/>
              </w:rPr>
              <w:t>cm；</w:t>
            </w:r>
            <w:r>
              <w:rPr>
                <w:rFonts w:hint="eastAsia" w:ascii="仿宋" w:hAnsi="仿宋" w:eastAsia="仿宋" w:cs="宋体"/>
                <w:sz w:val="24"/>
                <w:szCs w:val="24"/>
                <w:lang w:eastAsia="zh-CN"/>
              </w:rPr>
              <w:t>高</w:t>
            </w:r>
            <w:r>
              <w:rPr>
                <w:rFonts w:hint="eastAsia" w:ascii="仿宋" w:hAnsi="仿宋" w:eastAsia="仿宋" w:cs="宋体"/>
                <w:sz w:val="24"/>
                <w:szCs w:val="24"/>
                <w:lang w:val="en-US" w:eastAsia="zh-CN"/>
              </w:rPr>
              <w:t>度</w:t>
            </w:r>
            <w:r>
              <w:rPr>
                <w:rFonts w:hint="eastAsia" w:ascii="仿宋" w:hAnsi="仿宋" w:eastAsia="仿宋" w:cs="宋体"/>
                <w:sz w:val="24"/>
                <w:szCs w:val="24"/>
              </w:rPr>
              <w:t>≥</w:t>
            </w:r>
            <w:r>
              <w:rPr>
                <w:rFonts w:hint="eastAsia" w:ascii="仿宋" w:hAnsi="仿宋" w:eastAsia="仿宋" w:cs="宋体"/>
                <w:sz w:val="24"/>
                <w:szCs w:val="24"/>
                <w:lang w:val="en-US" w:eastAsia="zh-CN"/>
              </w:rPr>
              <w:t>10</w:t>
            </w:r>
            <w:r>
              <w:rPr>
                <w:rFonts w:hint="eastAsia" w:ascii="仿宋" w:hAnsi="仿宋" w:eastAsia="仿宋" w:cs="宋体"/>
                <w:sz w:val="24"/>
                <w:szCs w:val="24"/>
              </w:rPr>
              <w:t>cm</w:t>
            </w:r>
            <w:r>
              <w:rPr>
                <w:rFonts w:hint="eastAsia" w:ascii="仿宋" w:hAnsi="仿宋" w:eastAsia="仿宋" w:cs="宋体"/>
                <w:sz w:val="24"/>
                <w:szCs w:val="24"/>
                <w:lang w:eastAsia="zh-CN"/>
              </w:rPr>
              <w:t>。</w:t>
            </w:r>
            <w:r>
              <w:rPr>
                <w:rFonts w:hint="eastAsia" w:ascii="仿宋" w:hAnsi="仿宋" w:eastAsia="仿宋" w:cs="宋体"/>
                <w:sz w:val="24"/>
                <w:szCs w:val="24"/>
              </w:rPr>
              <w:t>鼠药储藏洞道尺寸</w:t>
            </w:r>
            <w:r>
              <w:rPr>
                <w:rFonts w:hint="eastAsia" w:ascii="仿宋" w:hAnsi="仿宋" w:eastAsia="仿宋" w:cs="宋体"/>
                <w:sz w:val="24"/>
                <w:szCs w:val="24"/>
                <w:lang w:eastAsia="zh-CN"/>
              </w:rPr>
              <w:t>：</w:t>
            </w:r>
            <w:r>
              <w:rPr>
                <w:rFonts w:hint="eastAsia" w:ascii="仿宋" w:hAnsi="仿宋" w:eastAsia="仿宋" w:cs="宋体"/>
                <w:sz w:val="24"/>
                <w:szCs w:val="24"/>
              </w:rPr>
              <w:t xml:space="preserve"> 高11cm</w:t>
            </w:r>
            <w:r>
              <w:rPr>
                <w:rFonts w:hint="eastAsia" w:ascii="仿宋" w:hAnsi="仿宋" w:eastAsia="仿宋" w:cs="宋体"/>
                <w:sz w:val="24"/>
                <w:szCs w:val="24"/>
                <w:lang w:eastAsia="zh-CN"/>
              </w:rPr>
              <w:t>，</w:t>
            </w:r>
            <w:r>
              <w:rPr>
                <w:rFonts w:hint="eastAsia" w:ascii="仿宋" w:hAnsi="仿宋" w:eastAsia="仿宋" w:cs="宋体"/>
                <w:sz w:val="24"/>
                <w:szCs w:val="24"/>
              </w:rPr>
              <w:t>宽8cm</w:t>
            </w:r>
            <w:r>
              <w:rPr>
                <w:rFonts w:hint="eastAsia" w:ascii="仿宋" w:hAnsi="仿宋" w:eastAsia="仿宋" w:cs="宋体"/>
                <w:sz w:val="24"/>
                <w:szCs w:val="24"/>
                <w:lang w:eastAsia="zh-CN"/>
              </w:rPr>
              <w:t>，</w:t>
            </w:r>
            <w:r>
              <w:rPr>
                <w:rFonts w:hint="eastAsia" w:ascii="仿宋" w:hAnsi="仿宋" w:eastAsia="仿宋" w:cs="宋体"/>
                <w:sz w:val="24"/>
                <w:szCs w:val="24"/>
              </w:rPr>
              <w:t>坡长11㎝</w:t>
            </w:r>
            <w:r>
              <w:rPr>
                <w:rFonts w:hint="eastAsia" w:ascii="仿宋" w:hAnsi="仿宋" w:eastAsia="仿宋" w:cs="宋体"/>
                <w:sz w:val="24"/>
                <w:szCs w:val="24"/>
                <w:lang w:eastAsia="zh-CN"/>
              </w:rPr>
              <w:t>，</w:t>
            </w:r>
            <w:r>
              <w:rPr>
                <w:rFonts w:hint="eastAsia" w:ascii="仿宋" w:hAnsi="仿宋" w:eastAsia="仿宋" w:cs="宋体"/>
                <w:sz w:val="24"/>
                <w:szCs w:val="24"/>
              </w:rPr>
              <w:t>毒药盒离地高度4.0㎝（遇水可上浮离地8cm）。</w:t>
            </w:r>
          </w:p>
          <w:p w14:paraId="631C7EA9">
            <w:pPr>
              <w:rPr>
                <w:rFonts w:hint="eastAsia" w:ascii="仿宋" w:hAnsi="仿宋" w:eastAsia="仿宋" w:cs="宋体"/>
                <w:sz w:val="24"/>
                <w:szCs w:val="24"/>
              </w:rPr>
            </w:pPr>
            <w:r>
              <w:rPr>
                <w:rFonts w:hint="eastAsia" w:ascii="仿宋" w:hAnsi="仿宋" w:eastAsia="仿宋" w:cs="宋体"/>
                <w:sz w:val="24"/>
                <w:szCs w:val="24"/>
              </w:rPr>
              <w:t>灭鼠诱饵站须</w:t>
            </w:r>
            <w:r>
              <w:rPr>
                <w:rFonts w:hint="eastAsia" w:ascii="仿宋" w:hAnsi="仿宋" w:eastAsia="仿宋" w:cs="宋体"/>
                <w:sz w:val="24"/>
                <w:szCs w:val="24"/>
                <w:lang w:eastAsia="zh-CN"/>
              </w:rPr>
              <w:t>黏合</w:t>
            </w:r>
            <w:r>
              <w:rPr>
                <w:rFonts w:hint="eastAsia" w:ascii="仿宋" w:hAnsi="仿宋" w:eastAsia="仿宋" w:cs="宋体"/>
                <w:sz w:val="24"/>
                <w:szCs w:val="24"/>
              </w:rPr>
              <w:t>固定，统一编号，提供位置图表。</w:t>
            </w:r>
          </w:p>
        </w:tc>
        <w:tc>
          <w:tcPr>
            <w:tcW w:w="1057" w:type="dxa"/>
            <w:vMerge w:val="restart"/>
            <w:tcBorders>
              <w:top w:val="single" w:color="auto" w:sz="6" w:space="0"/>
              <w:left w:val="single" w:color="auto" w:sz="6" w:space="0"/>
              <w:right w:val="single" w:color="auto" w:sz="6" w:space="0"/>
            </w:tcBorders>
            <w:vAlign w:val="center"/>
          </w:tcPr>
          <w:p w14:paraId="1199B8FE">
            <w:pPr>
              <w:widowControl/>
              <w:jc w:val="center"/>
              <w:textAlignment w:val="center"/>
              <w:rPr>
                <w:rFonts w:hint="eastAsia" w:ascii="仿宋" w:hAnsi="仿宋" w:eastAsia="仿宋" w:cs="宋体"/>
                <w:kern w:val="0"/>
                <w:sz w:val="24"/>
                <w:szCs w:val="24"/>
                <w:lang w:eastAsia="zh-CN"/>
              </w:rPr>
            </w:pPr>
            <w:r>
              <w:rPr>
                <w:rFonts w:hint="eastAsia" w:ascii="仿宋" w:hAnsi="仿宋" w:eastAsia="仿宋" w:cs="宋体"/>
                <w:kern w:val="0"/>
                <w:sz w:val="24"/>
                <w:szCs w:val="24"/>
                <w:lang w:eastAsia="zh-CN"/>
              </w:rPr>
              <w:t>符合创卫要求</w:t>
            </w:r>
          </w:p>
        </w:tc>
        <w:tc>
          <w:tcPr>
            <w:tcW w:w="2157" w:type="dxa"/>
            <w:tcBorders>
              <w:top w:val="single" w:color="auto" w:sz="6" w:space="0"/>
              <w:left w:val="single" w:color="auto" w:sz="6" w:space="0"/>
              <w:bottom w:val="single" w:color="auto" w:sz="6" w:space="0"/>
              <w:right w:val="single" w:color="auto" w:sz="4" w:space="0"/>
            </w:tcBorders>
            <w:vAlign w:val="center"/>
          </w:tcPr>
          <w:p w14:paraId="01EC2947">
            <w:pPr>
              <w:widowControl/>
              <w:jc w:val="center"/>
              <w:textAlignment w:val="center"/>
              <w:rPr>
                <w:rFonts w:hint="default" w:ascii="仿宋" w:hAnsi="仿宋" w:eastAsia="仿宋" w:cs="宋体"/>
                <w:sz w:val="24"/>
                <w:szCs w:val="24"/>
                <w:lang w:val="en-US" w:eastAsia="zh-CN"/>
              </w:rPr>
            </w:pPr>
            <w:r>
              <w:rPr>
                <w:rFonts w:hint="eastAsia" w:ascii="仿宋" w:hAnsi="仿宋" w:eastAsia="仿宋" w:cs="仿宋"/>
                <w:sz w:val="24"/>
                <w:szCs w:val="24"/>
              </w:rPr>
              <w:drawing>
                <wp:anchor distT="0" distB="0" distL="0" distR="0" simplePos="0" relativeHeight="251659264" behindDoc="0" locked="0" layoutInCell="1" allowOverlap="1">
                  <wp:simplePos x="0" y="0"/>
                  <wp:positionH relativeFrom="column">
                    <wp:posOffset>-11430</wp:posOffset>
                  </wp:positionH>
                  <wp:positionV relativeFrom="paragraph">
                    <wp:posOffset>98425</wp:posOffset>
                  </wp:positionV>
                  <wp:extent cx="1232535" cy="1206500"/>
                  <wp:effectExtent l="0" t="0" r="5715" b="12700"/>
                  <wp:wrapTopAndBottom/>
                  <wp:docPr id="1026" name="图片 2"/>
                  <wp:cNvGraphicFramePr/>
                  <a:graphic xmlns:a="http://schemas.openxmlformats.org/drawingml/2006/main">
                    <a:graphicData uri="http://schemas.openxmlformats.org/drawingml/2006/picture">
                      <pic:pic xmlns:pic="http://schemas.openxmlformats.org/drawingml/2006/picture">
                        <pic:nvPicPr>
                          <pic:cNvPr id="1026" name="图片 2"/>
                          <pic:cNvPicPr/>
                        </pic:nvPicPr>
                        <pic:blipFill>
                          <a:blip r:embed="rId4" cstate="print"/>
                          <a:srcRect l="7400" t="-2434" r="-3156" b="4039"/>
                          <a:stretch>
                            <a:fillRect/>
                          </a:stretch>
                        </pic:blipFill>
                        <pic:spPr>
                          <a:xfrm>
                            <a:off x="0" y="0"/>
                            <a:ext cx="1232535" cy="1206500"/>
                          </a:xfrm>
                          <a:prstGeom prst="rect">
                            <a:avLst/>
                          </a:prstGeom>
                          <a:ln>
                            <a:noFill/>
                          </a:ln>
                        </pic:spPr>
                      </pic:pic>
                    </a:graphicData>
                  </a:graphic>
                </wp:anchor>
              </w:drawing>
            </w:r>
          </w:p>
        </w:tc>
        <w:tc>
          <w:tcPr>
            <w:tcW w:w="1190" w:type="dxa"/>
            <w:vMerge w:val="restart"/>
            <w:tcBorders>
              <w:top w:val="single" w:color="auto" w:sz="6" w:space="0"/>
              <w:left w:val="single" w:color="auto" w:sz="6" w:space="0"/>
              <w:right w:val="single" w:color="auto" w:sz="4" w:space="0"/>
            </w:tcBorders>
            <w:vAlign w:val="center"/>
          </w:tcPr>
          <w:p w14:paraId="0CE682A1">
            <w:pPr>
              <w:widowControl/>
              <w:jc w:val="center"/>
              <w:textAlignment w:val="center"/>
              <w:rPr>
                <w:rFonts w:hint="default" w:ascii="仿宋" w:hAnsi="仿宋" w:eastAsia="仿宋" w:cs="仿宋"/>
                <w:sz w:val="24"/>
                <w:szCs w:val="24"/>
                <w:lang w:val="en-US" w:eastAsia="zh-CN"/>
              </w:rPr>
            </w:pPr>
            <w:r>
              <w:rPr>
                <w:rFonts w:hint="eastAsia" w:ascii="仿宋" w:hAnsi="仿宋" w:eastAsia="仿宋" w:cs="仿宋"/>
                <w:sz w:val="24"/>
                <w:szCs w:val="24"/>
                <w:lang w:eastAsia="zh-CN"/>
              </w:rPr>
              <w:t>一年不少于</w:t>
            </w:r>
            <w:r>
              <w:rPr>
                <w:rFonts w:hint="eastAsia" w:ascii="仿宋" w:hAnsi="仿宋" w:eastAsia="仿宋" w:cs="仿宋"/>
                <w:sz w:val="24"/>
                <w:szCs w:val="24"/>
                <w:lang w:val="en-US" w:eastAsia="zh-CN"/>
              </w:rPr>
              <w:t>7次</w:t>
            </w:r>
          </w:p>
        </w:tc>
      </w:tr>
      <w:tr w14:paraId="474DC73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594" w:hRule="atLeast"/>
          <w:jc w:val="center"/>
        </w:trPr>
        <w:tc>
          <w:tcPr>
            <w:tcW w:w="834" w:type="dxa"/>
            <w:tcBorders>
              <w:top w:val="single" w:color="auto" w:sz="6" w:space="0"/>
              <w:left w:val="single" w:color="auto" w:sz="4" w:space="0"/>
              <w:bottom w:val="single" w:color="auto" w:sz="6" w:space="0"/>
              <w:right w:val="single" w:color="auto" w:sz="6" w:space="0"/>
            </w:tcBorders>
            <w:vAlign w:val="center"/>
          </w:tcPr>
          <w:p w14:paraId="6B6AC0E7">
            <w:pPr>
              <w:jc w:val="center"/>
              <w:rPr>
                <w:rFonts w:hint="eastAsia" w:ascii="仿宋" w:hAnsi="仿宋" w:eastAsia="仿宋" w:cs="宋体"/>
                <w:b/>
                <w:bCs/>
                <w:sz w:val="24"/>
                <w:szCs w:val="24"/>
                <w:lang w:val="en-US" w:eastAsia="zh-CN"/>
              </w:rPr>
            </w:pPr>
            <w:r>
              <w:rPr>
                <w:rFonts w:hint="eastAsia" w:ascii="仿宋" w:hAnsi="仿宋" w:eastAsia="仿宋" w:cs="宋体"/>
                <w:b/>
                <w:bCs/>
                <w:sz w:val="24"/>
                <w:szCs w:val="24"/>
                <w:lang w:val="en-US" w:eastAsia="zh-CN"/>
              </w:rPr>
              <w:t>2</w:t>
            </w:r>
          </w:p>
        </w:tc>
        <w:tc>
          <w:tcPr>
            <w:tcW w:w="2152" w:type="dxa"/>
            <w:tcBorders>
              <w:top w:val="single" w:color="auto" w:sz="6" w:space="0"/>
              <w:left w:val="single" w:color="auto" w:sz="6" w:space="0"/>
              <w:bottom w:val="single" w:color="auto" w:sz="6" w:space="0"/>
              <w:right w:val="single" w:color="auto" w:sz="6" w:space="0"/>
            </w:tcBorders>
            <w:shd w:val="clear" w:color="auto" w:fill="auto"/>
            <w:vAlign w:val="center"/>
          </w:tcPr>
          <w:p w14:paraId="323652CA">
            <w:pPr>
              <w:widowControl/>
              <w:spacing w:line="320" w:lineRule="exact"/>
              <w:jc w:val="center"/>
              <w:rPr>
                <w:rFonts w:ascii="仿宋" w:hAnsi="仿宋" w:eastAsia="仿宋" w:cs="宋体"/>
                <w:b/>
                <w:bCs/>
                <w:sz w:val="24"/>
                <w:szCs w:val="24"/>
              </w:rPr>
            </w:pPr>
            <w:r>
              <w:rPr>
                <w:rFonts w:hint="eastAsia" w:ascii="仿宋" w:hAnsi="仿宋" w:eastAsia="仿宋" w:cs="宋体"/>
                <w:b/>
                <w:bCs/>
                <w:sz w:val="24"/>
                <w:szCs w:val="24"/>
              </w:rPr>
              <w:t>捕蝇笼安装</w:t>
            </w:r>
          </w:p>
          <w:p w14:paraId="2F094C22">
            <w:pPr>
              <w:spacing w:after="120"/>
              <w:ind w:firstLine="241" w:firstLineChars="100"/>
              <w:rPr>
                <w:rFonts w:hint="eastAsia" w:ascii="仿宋" w:hAnsi="仿宋" w:eastAsia="仿宋" w:cs="宋体"/>
                <w:b/>
                <w:bCs/>
                <w:kern w:val="2"/>
                <w:sz w:val="24"/>
                <w:szCs w:val="24"/>
                <w:lang w:val="en-US" w:eastAsia="zh-CN" w:bidi="ar-SA"/>
              </w:rPr>
            </w:pPr>
            <w:r>
              <w:rPr>
                <w:rFonts w:ascii="仿宋" w:hAnsi="仿宋" w:eastAsia="仿宋" w:cs="宋体"/>
                <w:b/>
                <w:bCs/>
                <w:sz w:val="24"/>
                <w:szCs w:val="24"/>
              </w:rPr>
              <w:t>（警示标签）</w:t>
            </w:r>
          </w:p>
        </w:tc>
        <w:tc>
          <w:tcPr>
            <w:tcW w:w="3948" w:type="dxa"/>
            <w:tcBorders>
              <w:top w:val="single" w:color="auto" w:sz="6" w:space="0"/>
              <w:left w:val="single" w:color="auto" w:sz="6" w:space="0"/>
              <w:bottom w:val="single" w:color="auto" w:sz="6" w:space="0"/>
              <w:right w:val="single" w:color="auto" w:sz="6" w:space="0"/>
            </w:tcBorders>
            <w:shd w:val="clear" w:color="auto" w:fill="auto"/>
            <w:vAlign w:val="center"/>
          </w:tcPr>
          <w:p w14:paraId="030C2057">
            <w:pPr>
              <w:rPr>
                <w:rFonts w:hint="eastAsia" w:ascii="仿宋" w:hAnsi="仿宋" w:eastAsia="仿宋" w:cs="宋体"/>
                <w:kern w:val="2"/>
                <w:sz w:val="24"/>
                <w:szCs w:val="24"/>
                <w:lang w:val="en-US" w:eastAsia="zh-CN" w:bidi="ar-SA"/>
              </w:rPr>
            </w:pPr>
            <w:r>
              <w:rPr>
                <w:rFonts w:hint="eastAsia" w:ascii="仿宋" w:hAnsi="仿宋" w:eastAsia="仿宋" w:cs="宋体"/>
                <w:sz w:val="24"/>
                <w:szCs w:val="24"/>
              </w:rPr>
              <w:t>规格：直径≥20cm；高度≥26cm；椎体高≥20cm顶部采用具有透光性能的透明薄膜，具有防水功能。</w:t>
            </w:r>
          </w:p>
        </w:tc>
        <w:tc>
          <w:tcPr>
            <w:tcW w:w="1057" w:type="dxa"/>
            <w:vMerge w:val="continue"/>
            <w:tcBorders>
              <w:left w:val="single" w:color="auto" w:sz="6" w:space="0"/>
              <w:right w:val="single" w:color="auto" w:sz="6" w:space="0"/>
            </w:tcBorders>
            <w:shd w:val="clear" w:color="auto" w:fill="auto"/>
            <w:vAlign w:val="center"/>
          </w:tcPr>
          <w:p w14:paraId="57AF8253">
            <w:pPr>
              <w:widowControl/>
              <w:jc w:val="center"/>
              <w:textAlignment w:val="center"/>
              <w:rPr>
                <w:rFonts w:hint="eastAsia" w:ascii="仿宋" w:hAnsi="仿宋" w:eastAsia="仿宋" w:cs="宋体"/>
                <w:kern w:val="0"/>
                <w:sz w:val="24"/>
                <w:szCs w:val="24"/>
                <w:lang w:val="en-US" w:eastAsia="zh-CN" w:bidi="ar-SA"/>
              </w:rPr>
            </w:pPr>
          </w:p>
        </w:tc>
        <w:tc>
          <w:tcPr>
            <w:tcW w:w="2157" w:type="dxa"/>
            <w:tcBorders>
              <w:top w:val="single" w:color="auto" w:sz="6" w:space="0"/>
              <w:left w:val="single" w:color="auto" w:sz="6" w:space="0"/>
              <w:bottom w:val="single" w:color="auto" w:sz="6" w:space="0"/>
              <w:right w:val="single" w:color="auto" w:sz="4" w:space="0"/>
            </w:tcBorders>
            <w:shd w:val="clear" w:color="auto" w:fill="auto"/>
            <w:vAlign w:val="center"/>
          </w:tcPr>
          <w:p w14:paraId="2FBEFE48">
            <w:pPr>
              <w:widowControl/>
              <w:jc w:val="center"/>
              <w:textAlignment w:val="center"/>
              <w:rPr>
                <w:rFonts w:hint="default" w:ascii="仿宋" w:hAnsi="仿宋" w:eastAsia="仿宋" w:cs="宋体"/>
                <w:kern w:val="2"/>
                <w:sz w:val="24"/>
                <w:szCs w:val="24"/>
                <w:lang w:val="en-US" w:eastAsia="zh-CN" w:bidi="ar-SA"/>
              </w:rPr>
            </w:pPr>
            <w:r>
              <w:rPr>
                <w:rFonts w:hint="default" w:ascii="仿宋" w:hAnsi="仿宋" w:eastAsia="仿宋" w:cs="宋体"/>
                <w:sz w:val="24"/>
                <w:szCs w:val="24"/>
                <w:lang w:val="en-US" w:eastAsia="zh-CN"/>
              </w:rPr>
              <w:drawing>
                <wp:inline distT="0" distB="0" distL="0" distR="0">
                  <wp:extent cx="1009015" cy="1469390"/>
                  <wp:effectExtent l="0" t="0" r="12065" b="8890"/>
                  <wp:docPr id="1" name="图片 2" descr="2a3a3b22db5d70a9eccdb04e4e9d524"/>
                  <wp:cNvGraphicFramePr/>
                  <a:graphic xmlns:a="http://schemas.openxmlformats.org/drawingml/2006/main">
                    <a:graphicData uri="http://schemas.openxmlformats.org/drawingml/2006/picture">
                      <pic:pic xmlns:pic="http://schemas.openxmlformats.org/drawingml/2006/picture">
                        <pic:nvPicPr>
                          <pic:cNvPr id="1" name="图片 2" descr="2a3a3b22db5d70a9eccdb04e4e9d524"/>
                          <pic:cNvPicPr/>
                        </pic:nvPicPr>
                        <pic:blipFill>
                          <a:blip r:embed="rId5" cstate="print"/>
                          <a:srcRect/>
                          <a:stretch>
                            <a:fillRect/>
                          </a:stretch>
                        </pic:blipFill>
                        <pic:spPr>
                          <a:xfrm>
                            <a:off x="0" y="0"/>
                            <a:ext cx="1009649" cy="1469390"/>
                          </a:xfrm>
                          <a:prstGeom prst="rect">
                            <a:avLst/>
                          </a:prstGeom>
                        </pic:spPr>
                      </pic:pic>
                    </a:graphicData>
                  </a:graphic>
                </wp:inline>
              </w:drawing>
            </w:r>
          </w:p>
        </w:tc>
        <w:tc>
          <w:tcPr>
            <w:tcW w:w="1190" w:type="dxa"/>
            <w:vMerge w:val="continue"/>
            <w:tcBorders>
              <w:left w:val="single" w:color="auto" w:sz="6" w:space="0"/>
              <w:right w:val="single" w:color="auto" w:sz="4" w:space="0"/>
            </w:tcBorders>
            <w:shd w:val="clear" w:color="auto" w:fill="auto"/>
            <w:vAlign w:val="center"/>
          </w:tcPr>
          <w:p w14:paraId="1213ECFF">
            <w:pPr>
              <w:widowControl/>
              <w:jc w:val="center"/>
              <w:textAlignment w:val="center"/>
              <w:rPr>
                <w:rFonts w:hint="default" w:ascii="仿宋" w:hAnsi="仿宋" w:eastAsia="仿宋" w:cs="宋体"/>
                <w:sz w:val="24"/>
                <w:szCs w:val="24"/>
                <w:lang w:val="en-US" w:eastAsia="zh-CN"/>
              </w:rPr>
            </w:pPr>
          </w:p>
        </w:tc>
      </w:tr>
      <w:tr w14:paraId="0C44C37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818" w:hRule="atLeast"/>
          <w:jc w:val="center"/>
        </w:trPr>
        <w:tc>
          <w:tcPr>
            <w:tcW w:w="834" w:type="dxa"/>
            <w:tcBorders>
              <w:top w:val="single" w:color="auto" w:sz="6" w:space="0"/>
              <w:left w:val="single" w:color="auto" w:sz="4" w:space="0"/>
              <w:bottom w:val="single" w:color="auto" w:sz="6" w:space="0"/>
              <w:right w:val="single" w:color="auto" w:sz="6" w:space="0"/>
            </w:tcBorders>
            <w:vAlign w:val="center"/>
          </w:tcPr>
          <w:p w14:paraId="72A40A90">
            <w:pPr>
              <w:jc w:val="center"/>
              <w:rPr>
                <w:rFonts w:hint="eastAsia" w:ascii="仿宋" w:hAnsi="仿宋" w:eastAsia="仿宋" w:cs="宋体"/>
                <w:b/>
                <w:bCs/>
                <w:sz w:val="24"/>
                <w:szCs w:val="24"/>
                <w:lang w:val="en-US" w:eastAsia="zh-CN"/>
              </w:rPr>
            </w:pPr>
            <w:r>
              <w:rPr>
                <w:rFonts w:hint="eastAsia" w:ascii="仿宋" w:hAnsi="仿宋" w:eastAsia="仿宋" w:cs="宋体"/>
                <w:b/>
                <w:bCs/>
                <w:sz w:val="24"/>
                <w:szCs w:val="24"/>
                <w:lang w:val="en-US" w:eastAsia="zh-CN"/>
              </w:rPr>
              <w:t>3</w:t>
            </w:r>
          </w:p>
        </w:tc>
        <w:tc>
          <w:tcPr>
            <w:tcW w:w="2152" w:type="dxa"/>
            <w:tcBorders>
              <w:top w:val="single" w:color="auto" w:sz="6" w:space="0"/>
              <w:left w:val="single" w:color="auto" w:sz="6" w:space="0"/>
              <w:bottom w:val="single" w:color="auto" w:sz="6" w:space="0"/>
              <w:right w:val="single" w:color="auto" w:sz="6" w:space="0"/>
            </w:tcBorders>
            <w:shd w:val="clear" w:color="auto" w:fill="auto"/>
            <w:vAlign w:val="center"/>
          </w:tcPr>
          <w:p w14:paraId="47482287">
            <w:pPr>
              <w:widowControl/>
              <w:spacing w:line="320" w:lineRule="exact"/>
              <w:jc w:val="center"/>
              <w:rPr>
                <w:rFonts w:hint="eastAsia" w:ascii="仿宋" w:hAnsi="仿宋" w:eastAsia="仿宋" w:cs="宋体"/>
                <w:b/>
                <w:bCs/>
                <w:kern w:val="2"/>
                <w:sz w:val="24"/>
                <w:szCs w:val="24"/>
                <w:lang w:val="en-US" w:eastAsia="zh-CN" w:bidi="ar-SA"/>
              </w:rPr>
            </w:pPr>
            <w:r>
              <w:rPr>
                <w:rFonts w:hint="eastAsia" w:ascii="仿宋" w:hAnsi="仿宋" w:eastAsia="仿宋" w:cs="宋体"/>
                <w:b/>
                <w:bCs/>
                <w:sz w:val="24"/>
                <w:szCs w:val="24"/>
                <w:lang w:eastAsia="zh-CN"/>
              </w:rPr>
              <w:t>灭蟑</w:t>
            </w:r>
          </w:p>
        </w:tc>
        <w:tc>
          <w:tcPr>
            <w:tcW w:w="3948" w:type="dxa"/>
            <w:tcBorders>
              <w:top w:val="single" w:color="auto" w:sz="6" w:space="0"/>
              <w:left w:val="single" w:color="auto" w:sz="6" w:space="0"/>
              <w:bottom w:val="single" w:color="auto" w:sz="6" w:space="0"/>
              <w:right w:val="single" w:color="auto" w:sz="6" w:space="0"/>
            </w:tcBorders>
            <w:shd w:val="clear" w:color="auto" w:fill="auto"/>
            <w:vAlign w:val="center"/>
          </w:tcPr>
          <w:p w14:paraId="3336DF3E">
            <w:pPr>
              <w:rPr>
                <w:rFonts w:hint="eastAsia" w:ascii="仿宋" w:hAnsi="仿宋" w:eastAsia="仿宋" w:cs="宋体"/>
                <w:kern w:val="2"/>
                <w:sz w:val="24"/>
                <w:szCs w:val="24"/>
                <w:lang w:val="en-US" w:eastAsia="zh-CN" w:bidi="ar-SA"/>
              </w:rPr>
            </w:pPr>
            <w:r>
              <w:rPr>
                <w:rFonts w:hint="eastAsia" w:ascii="仿宋" w:hAnsi="仿宋" w:eastAsia="仿宋" w:cs="宋体"/>
                <w:sz w:val="24"/>
                <w:szCs w:val="24"/>
                <w:lang w:eastAsia="zh-CN"/>
              </w:rPr>
              <w:t>根据反馈科室进行重点查杀</w:t>
            </w:r>
          </w:p>
        </w:tc>
        <w:tc>
          <w:tcPr>
            <w:tcW w:w="1057" w:type="dxa"/>
            <w:vMerge w:val="continue"/>
            <w:tcBorders>
              <w:left w:val="single" w:color="auto" w:sz="6" w:space="0"/>
              <w:bottom w:val="single" w:color="auto" w:sz="6" w:space="0"/>
              <w:right w:val="single" w:color="auto" w:sz="6" w:space="0"/>
            </w:tcBorders>
            <w:vAlign w:val="center"/>
          </w:tcPr>
          <w:p w14:paraId="5DB71AEF">
            <w:pPr>
              <w:widowControl/>
              <w:jc w:val="center"/>
              <w:textAlignment w:val="center"/>
              <w:rPr>
                <w:rFonts w:hint="eastAsia" w:ascii="仿宋" w:hAnsi="仿宋" w:eastAsia="仿宋" w:cs="仿宋"/>
                <w:kern w:val="0"/>
                <w:sz w:val="24"/>
                <w:szCs w:val="24"/>
              </w:rPr>
            </w:pPr>
          </w:p>
        </w:tc>
        <w:tc>
          <w:tcPr>
            <w:tcW w:w="2157" w:type="dxa"/>
            <w:tcBorders>
              <w:top w:val="single" w:color="auto" w:sz="6" w:space="0"/>
              <w:left w:val="single" w:color="auto" w:sz="6" w:space="0"/>
              <w:bottom w:val="single" w:color="auto" w:sz="6" w:space="0"/>
              <w:right w:val="single" w:color="auto" w:sz="4" w:space="0"/>
            </w:tcBorders>
            <w:vAlign w:val="center"/>
          </w:tcPr>
          <w:p w14:paraId="4A6F81EA">
            <w:pPr>
              <w:widowControl/>
              <w:jc w:val="center"/>
              <w:textAlignment w:val="center"/>
              <w:rPr>
                <w:rFonts w:hint="default" w:ascii="仿宋" w:hAnsi="仿宋" w:eastAsia="仿宋" w:cs="宋体"/>
                <w:sz w:val="24"/>
                <w:szCs w:val="24"/>
                <w:lang w:val="en-US" w:eastAsia="zh-CN"/>
              </w:rPr>
            </w:pPr>
          </w:p>
        </w:tc>
        <w:tc>
          <w:tcPr>
            <w:tcW w:w="1190" w:type="dxa"/>
            <w:vMerge w:val="continue"/>
            <w:tcBorders>
              <w:left w:val="single" w:color="auto" w:sz="6" w:space="0"/>
              <w:bottom w:val="single" w:color="auto" w:sz="6" w:space="0"/>
              <w:right w:val="single" w:color="auto" w:sz="4" w:space="0"/>
            </w:tcBorders>
            <w:vAlign w:val="center"/>
          </w:tcPr>
          <w:p w14:paraId="1FB4385C">
            <w:pPr>
              <w:widowControl/>
              <w:jc w:val="center"/>
              <w:textAlignment w:val="center"/>
              <w:rPr>
                <w:rFonts w:hint="default" w:ascii="仿宋" w:hAnsi="仿宋" w:eastAsia="仿宋" w:cs="宋体"/>
                <w:sz w:val="24"/>
                <w:szCs w:val="24"/>
                <w:lang w:val="en-US" w:eastAsia="zh-CN"/>
              </w:rPr>
            </w:pPr>
          </w:p>
        </w:tc>
      </w:tr>
    </w:tbl>
    <w:p w14:paraId="0D48D1B5">
      <w:pPr>
        <w:numPr>
          <w:ilvl w:val="0"/>
          <w:numId w:val="0"/>
        </w:numPr>
        <w:jc w:val="both"/>
        <w:rPr>
          <w:rFonts w:hint="eastAsia" w:asciiTheme="minorEastAsia" w:hAnsiTheme="minorEastAsia" w:eastAsiaTheme="minorEastAsia" w:cstheme="minorEastAsia"/>
          <w:b/>
          <w:sz w:val="32"/>
          <w:szCs w:val="32"/>
          <w:lang w:val="en-US" w:eastAsia="zh-CN"/>
        </w:rPr>
      </w:pPr>
    </w:p>
    <w:p w14:paraId="4297DE55">
      <w:pPr>
        <w:numPr>
          <w:ilvl w:val="0"/>
          <w:numId w:val="0"/>
        </w:numPr>
        <w:jc w:val="both"/>
        <w:rPr>
          <w:rFonts w:hint="eastAsia" w:asciiTheme="minorEastAsia" w:hAnsiTheme="minorEastAsia" w:eastAsiaTheme="minorEastAsia" w:cstheme="minorEastAsia"/>
          <w:b/>
          <w:sz w:val="32"/>
          <w:szCs w:val="32"/>
          <w:lang w:val="en-US" w:eastAsia="zh-CN"/>
        </w:rPr>
      </w:pPr>
    </w:p>
    <w:p w14:paraId="270974BD">
      <w:pPr>
        <w:numPr>
          <w:ilvl w:val="0"/>
          <w:numId w:val="0"/>
        </w:numPr>
        <w:jc w:val="both"/>
        <w:rPr>
          <w:rFonts w:hint="eastAsia" w:asciiTheme="minorEastAsia" w:hAnsiTheme="minorEastAsia" w:eastAsiaTheme="minorEastAsia" w:cstheme="minorEastAsia"/>
          <w:b/>
          <w:sz w:val="32"/>
          <w:szCs w:val="32"/>
          <w:lang w:val="en-US" w:eastAsia="zh-CN"/>
        </w:rPr>
      </w:pPr>
      <w:r>
        <w:rPr>
          <w:rFonts w:hint="eastAsia" w:asciiTheme="minorEastAsia" w:hAnsiTheme="minorEastAsia" w:eastAsiaTheme="minorEastAsia" w:cstheme="minorEastAsia"/>
          <w:b/>
          <w:sz w:val="32"/>
          <w:szCs w:val="32"/>
          <w:lang w:val="en-US" w:eastAsia="zh-CN"/>
        </w:rPr>
        <w:t>二、服务范围</w:t>
      </w:r>
    </w:p>
    <w:p w14:paraId="6355F4B7">
      <w:pPr>
        <w:pStyle w:val="2"/>
        <w:ind w:left="0" w:leftChars="0"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全院</w:t>
      </w:r>
    </w:p>
    <w:p w14:paraId="323FEA21">
      <w:pPr>
        <w:numPr>
          <w:ilvl w:val="0"/>
          <w:numId w:val="1"/>
        </w:numPr>
        <w:ind w:left="0" w:leftChars="0" w:firstLine="0" w:firstLineChars="0"/>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服务周期</w:t>
      </w:r>
    </w:p>
    <w:p w14:paraId="74241420">
      <w:pPr>
        <w:pStyle w:val="2"/>
        <w:numPr>
          <w:ilvl w:val="0"/>
          <w:numId w:val="0"/>
        </w:numPr>
        <w:ind w:leftChars="0" w:firstLine="640" w:firstLineChars="200"/>
        <w:rPr>
          <w:rFonts w:hint="eastAsia" w:ascii="仿宋" w:hAnsi="仿宋" w:eastAsia="仿宋" w:cs="仿宋"/>
          <w:color w:val="auto"/>
          <w:sz w:val="32"/>
          <w:szCs w:val="32"/>
          <w:lang w:val="en-US" w:eastAsia="zh-CN"/>
        </w:rPr>
      </w:pPr>
      <w:r>
        <w:rPr>
          <w:rFonts w:hint="eastAsia" w:asciiTheme="minorEastAsia" w:hAnsiTheme="minorEastAsia" w:eastAsiaTheme="minorEastAsia" w:cstheme="minorEastAsia"/>
          <w:sz w:val="32"/>
          <w:szCs w:val="32"/>
          <w:lang w:val="en-US" w:eastAsia="zh-CN"/>
        </w:rPr>
        <w:t>12个月。</w:t>
      </w:r>
      <w:r>
        <w:rPr>
          <w:rFonts w:hint="eastAsia" w:ascii="仿宋" w:hAnsi="仿宋" w:eastAsia="仿宋" w:cs="仿宋"/>
          <w:color w:val="auto"/>
          <w:sz w:val="32"/>
          <w:szCs w:val="32"/>
          <w:lang w:val="en-US" w:eastAsia="zh-CN"/>
        </w:rPr>
        <w:t>以合同签订日期为起始。</w:t>
      </w:r>
    </w:p>
    <w:p w14:paraId="48EE7022">
      <w:pPr>
        <w:jc w:val="both"/>
        <w:rPr>
          <w:rFonts w:hint="eastAsia" w:ascii="宋体" w:hAnsi="宋体" w:eastAsia="宋体" w:cs="宋体"/>
          <w:b/>
          <w:sz w:val="32"/>
          <w:szCs w:val="32"/>
        </w:rPr>
      </w:pPr>
      <w:r>
        <w:rPr>
          <w:rFonts w:hint="eastAsia" w:ascii="宋体" w:hAnsi="宋体" w:cs="宋体"/>
          <w:b/>
          <w:sz w:val="32"/>
          <w:szCs w:val="32"/>
          <w:lang w:eastAsia="zh-CN"/>
        </w:rPr>
        <w:t>四</w:t>
      </w:r>
      <w:r>
        <w:rPr>
          <w:rFonts w:hint="eastAsia" w:ascii="宋体" w:hAnsi="宋体" w:eastAsia="宋体" w:cs="宋体"/>
          <w:b/>
          <w:sz w:val="32"/>
          <w:szCs w:val="32"/>
        </w:rPr>
        <w:t>、</w:t>
      </w:r>
      <w:r>
        <w:rPr>
          <w:rFonts w:hint="eastAsia" w:ascii="宋体" w:hAnsi="宋体" w:cs="宋体"/>
          <w:b/>
          <w:sz w:val="32"/>
          <w:szCs w:val="32"/>
          <w:lang w:val="en-US" w:eastAsia="zh-CN"/>
        </w:rPr>
        <w:t>服务</w:t>
      </w:r>
      <w:r>
        <w:rPr>
          <w:rFonts w:hint="eastAsia" w:ascii="宋体" w:hAnsi="宋体" w:eastAsia="宋体" w:cs="宋体"/>
          <w:b/>
          <w:sz w:val="32"/>
          <w:szCs w:val="32"/>
        </w:rPr>
        <w:t>要求</w:t>
      </w:r>
    </w:p>
    <w:p w14:paraId="509B165C">
      <w:pPr>
        <w:widowControl/>
        <w:ind w:firstLine="640" w:firstLineChars="200"/>
        <w:jc w:val="left"/>
        <w:rPr>
          <w:rFonts w:hint="eastAsia" w:ascii="仿宋" w:hAnsi="仿宋" w:eastAsia="仿宋" w:cs="仿宋"/>
          <w:kern w:val="0"/>
          <w:sz w:val="32"/>
          <w:szCs w:val="32"/>
        </w:rPr>
      </w:pPr>
      <w:r>
        <w:rPr>
          <w:rFonts w:hint="eastAsia" w:ascii="仿宋" w:hAnsi="仿宋" w:eastAsia="仿宋" w:cs="仿宋"/>
          <w:color w:val="auto"/>
          <w:kern w:val="0"/>
          <w:sz w:val="32"/>
          <w:szCs w:val="32"/>
          <w:lang w:eastAsia="zh-CN"/>
        </w:rPr>
        <w:t>（一）</w:t>
      </w:r>
      <w:r>
        <w:rPr>
          <w:rFonts w:hint="eastAsia" w:ascii="仿宋" w:hAnsi="仿宋" w:eastAsia="仿宋" w:cs="仿宋"/>
          <w:color w:val="auto"/>
          <w:kern w:val="0"/>
          <w:sz w:val="32"/>
          <w:szCs w:val="32"/>
        </w:rPr>
        <w:t>付款方式</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合同到期后，</w:t>
      </w:r>
      <w:r>
        <w:rPr>
          <w:rFonts w:hint="eastAsia" w:ascii="仿宋" w:hAnsi="仿宋" w:eastAsia="仿宋" w:cs="仿宋"/>
          <w:color w:val="auto"/>
          <w:kern w:val="0"/>
          <w:sz w:val="32"/>
          <w:szCs w:val="32"/>
          <w:lang w:eastAsia="zh-CN"/>
        </w:rPr>
        <w:t>含山县中医医院</w:t>
      </w:r>
      <w:r>
        <w:rPr>
          <w:rFonts w:hint="eastAsia" w:ascii="仿宋" w:hAnsi="仿宋" w:eastAsia="仿宋" w:cs="仿宋"/>
          <w:color w:val="auto"/>
          <w:kern w:val="0"/>
          <w:sz w:val="32"/>
          <w:szCs w:val="32"/>
        </w:rPr>
        <w:t>一次性支付</w:t>
      </w:r>
      <w:r>
        <w:rPr>
          <w:rFonts w:hint="eastAsia" w:ascii="仿宋" w:hAnsi="仿宋" w:eastAsia="仿宋" w:cs="仿宋"/>
          <w:color w:val="auto"/>
          <w:kern w:val="0"/>
          <w:sz w:val="32"/>
          <w:szCs w:val="32"/>
          <w:lang w:val="en-US" w:eastAsia="zh-CN"/>
        </w:rPr>
        <w:t>100%</w:t>
      </w:r>
      <w:r>
        <w:rPr>
          <w:rFonts w:hint="eastAsia" w:ascii="仿宋" w:hAnsi="仿宋" w:eastAsia="仿宋" w:cs="仿宋"/>
          <w:color w:val="auto"/>
          <w:kern w:val="0"/>
          <w:sz w:val="32"/>
          <w:szCs w:val="32"/>
        </w:rPr>
        <w:t>服务费</w:t>
      </w:r>
      <w:r>
        <w:rPr>
          <w:rFonts w:hint="eastAsia" w:ascii="仿宋" w:hAnsi="仿宋" w:eastAsia="仿宋" w:cs="仿宋"/>
          <w:color w:val="auto"/>
          <w:kern w:val="0"/>
          <w:sz w:val="32"/>
          <w:szCs w:val="32"/>
          <w:lang w:eastAsia="zh-CN"/>
        </w:rPr>
        <w:t>。</w:t>
      </w:r>
      <w:r>
        <w:rPr>
          <w:rFonts w:hint="eastAsia" w:ascii="仿宋" w:hAnsi="仿宋" w:eastAsia="仿宋" w:cs="仿宋"/>
          <w:kern w:val="0"/>
          <w:sz w:val="32"/>
          <w:szCs w:val="32"/>
        </w:rPr>
        <w:t xml:space="preserve"> </w:t>
      </w:r>
    </w:p>
    <w:p w14:paraId="4B560057">
      <w:pPr>
        <w:widowControl/>
        <w:ind w:firstLine="640" w:firstLineChars="200"/>
        <w:jc w:val="left"/>
        <w:rPr>
          <w:rFonts w:ascii="仿宋" w:hAnsi="仿宋" w:eastAsia="仿宋" w:cs="仿宋"/>
          <w:kern w:val="0"/>
          <w:sz w:val="32"/>
          <w:szCs w:val="32"/>
        </w:rPr>
      </w:pPr>
      <w:r>
        <w:rPr>
          <w:rFonts w:hint="eastAsia" w:ascii="仿宋" w:hAnsi="仿宋" w:eastAsia="仿宋" w:cs="仿宋"/>
          <w:kern w:val="0"/>
          <w:sz w:val="32"/>
          <w:szCs w:val="32"/>
          <w:lang w:eastAsia="zh-CN"/>
        </w:rPr>
        <w:t>（二）</w:t>
      </w:r>
      <w:r>
        <w:rPr>
          <w:rFonts w:hint="eastAsia" w:ascii="仿宋" w:hAnsi="仿宋" w:eastAsia="仿宋" w:cs="仿宋"/>
          <w:kern w:val="0"/>
          <w:sz w:val="32"/>
          <w:szCs w:val="32"/>
        </w:rPr>
        <w:t>根据不同病媒生物特点、季节、环境类型等，按照季节消杀，科学合理安排消杀方法、时间等具体工作。</w:t>
      </w:r>
    </w:p>
    <w:p w14:paraId="16174B34">
      <w:pPr>
        <w:widowControl/>
        <w:ind w:firstLine="640" w:firstLineChars="200"/>
        <w:jc w:val="left"/>
        <w:rPr>
          <w:rFonts w:hint="eastAsia" w:ascii="仿宋" w:hAnsi="仿宋" w:eastAsia="仿宋" w:cs="仿宋"/>
          <w:kern w:val="0"/>
          <w:sz w:val="32"/>
          <w:szCs w:val="32"/>
        </w:rPr>
      </w:pPr>
      <w:r>
        <w:rPr>
          <w:rFonts w:hint="eastAsia" w:ascii="仿宋" w:hAnsi="仿宋" w:eastAsia="仿宋" w:cs="仿宋"/>
          <w:kern w:val="0"/>
          <w:sz w:val="32"/>
          <w:szCs w:val="32"/>
          <w:lang w:eastAsia="zh-CN"/>
        </w:rPr>
        <w:t>（三）</w:t>
      </w:r>
      <w:r>
        <w:rPr>
          <w:rFonts w:hint="eastAsia" w:ascii="仿宋" w:hAnsi="仿宋" w:eastAsia="仿宋" w:cs="仿宋"/>
          <w:kern w:val="0"/>
          <w:sz w:val="32"/>
          <w:szCs w:val="32"/>
        </w:rPr>
        <w:t>拟投入本项目作业人员必须具备有害生物防制员职业资格证，接受</w:t>
      </w:r>
      <w:r>
        <w:rPr>
          <w:rFonts w:hint="eastAsia" w:ascii="仿宋" w:hAnsi="仿宋" w:eastAsia="仿宋" w:cs="仿宋"/>
          <w:kern w:val="0"/>
          <w:sz w:val="32"/>
          <w:szCs w:val="32"/>
          <w:lang w:val="en-US" w:eastAsia="zh-CN"/>
        </w:rPr>
        <w:t>含山县中医医院</w:t>
      </w:r>
      <w:r>
        <w:rPr>
          <w:rFonts w:hint="eastAsia" w:ascii="仿宋" w:hAnsi="仿宋" w:eastAsia="仿宋" w:cs="仿宋"/>
          <w:kern w:val="0"/>
          <w:sz w:val="32"/>
          <w:szCs w:val="32"/>
        </w:rPr>
        <w:t>现场监督；灭鼠诱饵站、捕蝇笼要提供布点位置图。</w:t>
      </w:r>
    </w:p>
    <w:p w14:paraId="1D9842FB">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ascii="仿宋" w:hAnsi="仿宋" w:eastAsia="仿宋" w:cs="仿宋"/>
          <w:kern w:val="0"/>
          <w:sz w:val="32"/>
          <w:szCs w:val="32"/>
        </w:rPr>
      </w:pPr>
      <w:r>
        <w:rPr>
          <w:rFonts w:hint="eastAsia" w:ascii="仿宋" w:hAnsi="仿宋" w:eastAsia="仿宋" w:cs="仿宋"/>
          <w:kern w:val="0"/>
          <w:sz w:val="32"/>
          <w:szCs w:val="32"/>
        </w:rPr>
        <w:t>（</w:t>
      </w:r>
      <w:r>
        <w:rPr>
          <w:rFonts w:hint="eastAsia" w:ascii="仿宋" w:hAnsi="仿宋" w:eastAsia="仿宋" w:cs="仿宋"/>
          <w:kern w:val="0"/>
          <w:sz w:val="32"/>
          <w:szCs w:val="32"/>
          <w:lang w:eastAsia="zh-CN"/>
        </w:rPr>
        <w:t>四</w:t>
      </w:r>
      <w:r>
        <w:rPr>
          <w:rFonts w:hint="eastAsia" w:ascii="仿宋" w:hAnsi="仿宋" w:eastAsia="仿宋" w:cs="仿宋"/>
          <w:kern w:val="0"/>
          <w:sz w:val="32"/>
          <w:szCs w:val="32"/>
        </w:rPr>
        <w:t>）</w:t>
      </w:r>
      <w:r>
        <w:rPr>
          <w:rFonts w:hint="eastAsia" w:ascii="仿宋" w:hAnsi="仿宋" w:eastAsia="仿宋" w:cs="仿宋"/>
          <w:kern w:val="0"/>
          <w:sz w:val="32"/>
          <w:szCs w:val="32"/>
          <w:lang w:eastAsia="zh-CN"/>
        </w:rPr>
        <w:t>根据《</w:t>
      </w:r>
      <w:r>
        <w:rPr>
          <w:rFonts w:hint="eastAsia" w:ascii="Times New Roman" w:hAnsi="Times New Roman" w:eastAsia="仿宋_GB2312" w:cs="仿宋_GB2312"/>
          <w:kern w:val="2"/>
          <w:sz w:val="32"/>
          <w:szCs w:val="32"/>
          <w:lang w:val="en-US" w:eastAsia="zh-CN"/>
        </w:rPr>
        <w:t>含山县病媒生物防制技术方案</w:t>
      </w:r>
      <w:r>
        <w:rPr>
          <w:rFonts w:hint="eastAsia" w:ascii="仿宋" w:hAnsi="仿宋" w:eastAsia="仿宋" w:cs="仿宋"/>
          <w:kern w:val="0"/>
          <w:sz w:val="32"/>
          <w:szCs w:val="32"/>
          <w:lang w:eastAsia="zh-CN"/>
        </w:rPr>
        <w:t>》要求，</w:t>
      </w:r>
      <w:bookmarkStart w:id="0" w:name="_GoBack"/>
      <w:bookmarkEnd w:id="0"/>
      <w:r>
        <w:rPr>
          <w:rFonts w:hint="eastAsia" w:ascii="仿宋" w:hAnsi="仿宋" w:eastAsia="仿宋" w:cs="仿宋"/>
          <w:kern w:val="0"/>
          <w:sz w:val="32"/>
          <w:szCs w:val="32"/>
        </w:rPr>
        <w:t xml:space="preserve">鼠、蚊、蝇、蟑螂密度，分别要求灭鼠达到国家《病媒生物密度控制水平鼠类》GB/T27770-2011 </w:t>
      </w:r>
      <w:r>
        <w:rPr>
          <w:rFonts w:hint="eastAsia" w:ascii="仿宋" w:hAnsi="仿宋" w:eastAsia="仿宋" w:cs="仿宋"/>
          <w:kern w:val="0"/>
          <w:sz w:val="32"/>
          <w:szCs w:val="32"/>
          <w:lang w:val="en-US" w:eastAsia="zh-CN"/>
        </w:rPr>
        <w:t>C</w:t>
      </w:r>
      <w:r>
        <w:rPr>
          <w:rFonts w:hint="eastAsia" w:ascii="仿宋" w:hAnsi="仿宋" w:eastAsia="仿宋" w:cs="仿宋"/>
          <w:kern w:val="0"/>
          <w:sz w:val="32"/>
          <w:szCs w:val="32"/>
        </w:rPr>
        <w:t xml:space="preserve">级标准、灭蝇达到国家《病媒生物密度控制水平蝇类GB/T27772-2011 </w:t>
      </w:r>
      <w:r>
        <w:rPr>
          <w:rFonts w:hint="eastAsia" w:ascii="仿宋" w:hAnsi="仿宋" w:eastAsia="仿宋" w:cs="仿宋"/>
          <w:kern w:val="0"/>
          <w:sz w:val="32"/>
          <w:szCs w:val="32"/>
          <w:lang w:val="en-US" w:eastAsia="zh-CN"/>
        </w:rPr>
        <w:t>C</w:t>
      </w:r>
      <w:r>
        <w:rPr>
          <w:rFonts w:hint="eastAsia" w:ascii="仿宋" w:hAnsi="仿宋" w:eastAsia="仿宋" w:cs="仿宋"/>
          <w:kern w:val="0"/>
          <w:sz w:val="32"/>
          <w:szCs w:val="32"/>
        </w:rPr>
        <w:t xml:space="preserve">级标准、灭蚊达到国家《病媒生物密度控制水平蚊虫》GB/T27771-2011 </w:t>
      </w:r>
      <w:r>
        <w:rPr>
          <w:rFonts w:hint="eastAsia" w:ascii="仿宋" w:hAnsi="仿宋" w:eastAsia="仿宋" w:cs="仿宋"/>
          <w:kern w:val="0"/>
          <w:sz w:val="32"/>
          <w:szCs w:val="32"/>
          <w:lang w:val="en-US" w:eastAsia="zh-CN"/>
        </w:rPr>
        <w:t>C</w:t>
      </w:r>
      <w:r>
        <w:rPr>
          <w:rFonts w:hint="eastAsia" w:ascii="仿宋" w:hAnsi="仿宋" w:eastAsia="仿宋" w:cs="仿宋"/>
          <w:kern w:val="0"/>
          <w:sz w:val="32"/>
          <w:szCs w:val="32"/>
        </w:rPr>
        <w:t>级标准、蟑螂密度达到国家《病媒生物密度控制水平蜚蠊》</w:t>
      </w:r>
      <w:r>
        <w:rPr>
          <w:rFonts w:hint="eastAsia" w:ascii="仿宋" w:hAnsi="仿宋" w:eastAsia="仿宋" w:cs="仿宋"/>
          <w:kern w:val="0"/>
          <w:sz w:val="32"/>
          <w:szCs w:val="32"/>
          <w:lang w:val="en-US" w:eastAsia="zh-CN"/>
        </w:rPr>
        <w:t>GB/T27773</w:t>
      </w:r>
      <w:r>
        <w:rPr>
          <w:rFonts w:hint="eastAsia" w:ascii="仿宋" w:hAnsi="仿宋" w:eastAsia="仿宋" w:cs="仿宋"/>
          <w:kern w:val="0"/>
          <w:sz w:val="32"/>
          <w:szCs w:val="32"/>
        </w:rPr>
        <w:t>-2011</w:t>
      </w:r>
      <w:r>
        <w:rPr>
          <w:rFonts w:hint="eastAsia" w:ascii="仿宋" w:hAnsi="仿宋" w:eastAsia="仿宋" w:cs="仿宋"/>
          <w:kern w:val="0"/>
          <w:sz w:val="32"/>
          <w:szCs w:val="32"/>
          <w:lang w:val="en-US" w:eastAsia="zh-CN"/>
        </w:rPr>
        <w:t xml:space="preserve"> C</w:t>
      </w:r>
      <w:r>
        <w:rPr>
          <w:rFonts w:hint="eastAsia" w:ascii="仿宋" w:hAnsi="仿宋" w:eastAsia="仿宋" w:cs="仿宋"/>
          <w:kern w:val="0"/>
          <w:sz w:val="32"/>
          <w:szCs w:val="32"/>
        </w:rPr>
        <w:t>级标准。</w:t>
      </w:r>
      <w:r>
        <w:rPr>
          <w:rFonts w:hint="eastAsia" w:ascii="仿宋" w:hAnsi="仿宋" w:eastAsia="仿宋" w:cs="仿宋"/>
          <w:kern w:val="0"/>
          <w:sz w:val="32"/>
          <w:szCs w:val="32"/>
          <w:lang w:val="en-US" w:eastAsia="zh-CN"/>
        </w:rPr>
        <w:t xml:space="preserve">                                                       </w:t>
      </w:r>
    </w:p>
    <w:p w14:paraId="539B2D4F">
      <w:pPr>
        <w:widowControl/>
        <w:ind w:firstLine="640" w:firstLineChars="200"/>
        <w:jc w:val="left"/>
        <w:rPr>
          <w:rFonts w:hint="default"/>
          <w:lang w:val="en-US" w:eastAsia="zh-CN"/>
        </w:rPr>
      </w:pPr>
      <w:r>
        <w:rPr>
          <w:rFonts w:hint="eastAsia" w:ascii="仿宋" w:hAnsi="仿宋" w:eastAsia="仿宋" w:cs="仿宋"/>
          <w:kern w:val="0"/>
          <w:sz w:val="32"/>
          <w:szCs w:val="32"/>
          <w:lang w:eastAsia="zh-CN"/>
        </w:rPr>
        <w:t>（五）</w:t>
      </w:r>
      <w:r>
        <w:rPr>
          <w:rFonts w:hint="eastAsia" w:ascii="仿宋" w:hAnsi="仿宋" w:eastAsia="仿宋" w:cs="仿宋"/>
          <w:kern w:val="0"/>
          <w:sz w:val="32"/>
          <w:szCs w:val="32"/>
        </w:rPr>
        <w:t>合同执行期间，如发生因操作不规范或使用不合格药物而引起的安全和投诉事件由中标单位负全责。</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8421A343-E375-4D5B-A96E-D354017A18D0}"/>
  </w:font>
  <w:font w:name="仿宋">
    <w:panose1 w:val="02010609060101010101"/>
    <w:charset w:val="86"/>
    <w:family w:val="modern"/>
    <w:pitch w:val="default"/>
    <w:sig w:usb0="800002BF" w:usb1="38CF7CFA" w:usb2="00000016" w:usb3="00000000" w:csb0="00040001" w:csb1="00000000"/>
    <w:embedRegular r:id="rId2" w:fontKey="{02E888C5-166C-4DF6-9D09-3D8921129C62}"/>
  </w:font>
  <w:font w:name="仿宋_GB2312">
    <w:panose1 w:val="02010609030101010101"/>
    <w:charset w:val="86"/>
    <w:family w:val="auto"/>
    <w:pitch w:val="default"/>
    <w:sig w:usb0="00000001" w:usb1="080E0000" w:usb2="00000000" w:usb3="00000000" w:csb0="00040000" w:csb1="00000000"/>
    <w:embedRegular r:id="rId3" w:fontKey="{6AB4B693-67E7-4594-ADC7-03A7C970A1E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818F42"/>
    <w:multiLevelType w:val="singleLevel"/>
    <w:tmpl w:val="A1818F4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Q3N2QwNjg4ZDc3ZjUyMTM0OGNiMTM5MTc0NTc5ODEifQ=="/>
  </w:docVars>
  <w:rsids>
    <w:rsidRoot w:val="00000000"/>
    <w:rsid w:val="08B36477"/>
    <w:rsid w:val="10B97633"/>
    <w:rsid w:val="16B17F66"/>
    <w:rsid w:val="16DA118B"/>
    <w:rsid w:val="19E35721"/>
    <w:rsid w:val="1FF95C9E"/>
    <w:rsid w:val="22D81085"/>
    <w:rsid w:val="29820015"/>
    <w:rsid w:val="2E5E25FF"/>
    <w:rsid w:val="302369A0"/>
    <w:rsid w:val="335D7E9A"/>
    <w:rsid w:val="338267D7"/>
    <w:rsid w:val="338E5D98"/>
    <w:rsid w:val="35EA1EB9"/>
    <w:rsid w:val="37216896"/>
    <w:rsid w:val="377F0D27"/>
    <w:rsid w:val="39FF4B03"/>
    <w:rsid w:val="3B0B6E98"/>
    <w:rsid w:val="3EAF4172"/>
    <w:rsid w:val="420E274E"/>
    <w:rsid w:val="438374A9"/>
    <w:rsid w:val="451301AA"/>
    <w:rsid w:val="47E7322E"/>
    <w:rsid w:val="48A949B3"/>
    <w:rsid w:val="49A05D40"/>
    <w:rsid w:val="4D9B0861"/>
    <w:rsid w:val="51E62634"/>
    <w:rsid w:val="53586FCE"/>
    <w:rsid w:val="5581163C"/>
    <w:rsid w:val="57452F9B"/>
    <w:rsid w:val="5D9F505F"/>
    <w:rsid w:val="5E261785"/>
    <w:rsid w:val="5FC90466"/>
    <w:rsid w:val="62A07758"/>
    <w:rsid w:val="64570265"/>
    <w:rsid w:val="6811429B"/>
    <w:rsid w:val="697F090A"/>
    <w:rsid w:val="699537AC"/>
    <w:rsid w:val="6D003795"/>
    <w:rsid w:val="6FA158A4"/>
    <w:rsid w:val="71017ADB"/>
    <w:rsid w:val="74213AB0"/>
    <w:rsid w:val="76320737"/>
    <w:rsid w:val="7BE546F8"/>
    <w:rsid w:val="7EAA574D"/>
    <w:rsid w:val="7F4508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character" w:default="1" w:styleId="6">
    <w:name w:val="Default Paragraph Font"/>
    <w:qFormat/>
    <w:uiPriority w:val="0"/>
  </w:style>
  <w:style w:type="table" w:default="1" w:styleId="5">
    <w:name w:val="Normal Table"/>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rPr>
      <w:rFonts w:ascii="Calibri" w:hAnsi="Calibri" w:eastAsia="宋体" w:cs="Times New Roman"/>
    </w:rPr>
  </w:style>
  <w:style w:type="paragraph" w:styleId="3">
    <w:name w:val="Body Text Indent"/>
    <w:basedOn w:val="1"/>
    <w:next w:val="4"/>
    <w:qFormat/>
    <w:uiPriority w:val="99"/>
    <w:pPr>
      <w:spacing w:after="120"/>
      <w:ind w:left="420" w:leftChars="200"/>
    </w:pPr>
  </w:style>
  <w:style w:type="paragraph" w:styleId="4">
    <w:name w:val="envelope return"/>
    <w:basedOn w:val="1"/>
    <w:qFormat/>
    <w:uiPriority w:val="0"/>
    <w:pPr>
      <w:snapToGrid w:val="0"/>
    </w:pPr>
    <w:rPr>
      <w:rFonts w:ascii="Arial" w:hAnsi="Arial" w:eastAsia="宋体"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634</Words>
  <Characters>719</Characters>
  <Paragraphs>231</Paragraphs>
  <TotalTime>0</TotalTime>
  <ScaleCrop>false</ScaleCrop>
  <LinksUpToDate>false</LinksUpToDate>
  <CharactersWithSpaces>788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2023-04-03T00:38:00Z</dcterms:created>
  <dc:creator>十年</dc:creator>
  <cp:lastModifiedBy>Syhirley</cp:lastModifiedBy>
  <cp:lastPrinted>2026-01-09T01:21:00Z</cp:lastPrinted>
  <dcterms:modified xsi:type="dcterms:W3CDTF">2026-01-09T02:16:01Z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79FF943641CB44DF856F56C30B4B5893_13</vt:lpwstr>
  </property>
  <property fmtid="{D5CDD505-2E9C-101B-9397-08002B2CF9AE}" pid="4" name="KSOTemplateDocerSaveRecord">
    <vt:lpwstr>eyJoZGlkIjoiNTBmYjI2ZjgzY2MxODUzNWYzM2ZlNWRhZmVjMzkyZTgiLCJ1c2VySWQiOiI0MTQ0NjUyMTcifQ==</vt:lpwstr>
  </property>
</Properties>
</file>