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BDD4B8">
      <w:pPr>
        <w:jc w:val="both"/>
        <w:rPr>
          <w:rFonts w:hint="eastAsia" w:ascii="宋体" w:hAnsi="宋体" w:cs="宋体"/>
          <w:b w:val="0"/>
          <w:color w:val="auto"/>
          <w:kern w:val="0"/>
          <w:sz w:val="36"/>
          <w:szCs w:val="36"/>
          <w:highlight w:val="none"/>
          <w:lang w:bidi="ar"/>
        </w:rPr>
      </w:pPr>
      <w:r>
        <w:rPr>
          <w:rFonts w:hint="eastAsia" w:ascii="宋体" w:hAnsi="宋体" w:eastAsia="宋体" w:cs="宋体"/>
          <w:b w:val="0"/>
          <w:color w:val="auto"/>
          <w:kern w:val="0"/>
          <w:sz w:val="32"/>
          <w:szCs w:val="32"/>
          <w:highlight w:val="none"/>
          <w:lang w:val="en-US" w:eastAsia="zh-CN" w:bidi="ar"/>
        </w:rPr>
        <w:t>附件1：</w:t>
      </w:r>
      <w:r>
        <w:rPr>
          <w:rFonts w:hint="eastAsia" w:ascii="宋体" w:hAnsi="宋体" w:eastAsia="宋体" w:cs="宋体"/>
          <w:b w:val="0"/>
          <w:color w:val="auto"/>
          <w:kern w:val="0"/>
          <w:sz w:val="24"/>
          <w:szCs w:val="24"/>
          <w:highlight w:val="none"/>
          <w:lang w:val="en-US" w:eastAsia="zh-CN" w:bidi="ar"/>
        </w:rPr>
        <w:t xml:space="preserve">          </w:t>
      </w:r>
      <w:r>
        <w:rPr>
          <w:rFonts w:hint="eastAsia" w:ascii="宋体" w:hAnsi="宋体" w:cs="宋体"/>
          <w:b w:val="0"/>
          <w:color w:val="auto"/>
          <w:kern w:val="0"/>
          <w:sz w:val="36"/>
          <w:szCs w:val="36"/>
          <w:highlight w:val="none"/>
          <w:lang w:bidi="ar"/>
        </w:rPr>
        <w:t>项目</w:t>
      </w:r>
      <w:r>
        <w:rPr>
          <w:rFonts w:hint="eastAsia" w:ascii="宋体" w:hAnsi="宋体" w:cs="宋体"/>
          <w:b w:val="0"/>
          <w:color w:val="auto"/>
          <w:kern w:val="0"/>
          <w:sz w:val="36"/>
          <w:szCs w:val="36"/>
          <w:highlight w:val="none"/>
          <w:lang w:eastAsia="zh-CN" w:bidi="ar"/>
        </w:rPr>
        <w:t>采购</w:t>
      </w:r>
      <w:r>
        <w:rPr>
          <w:rFonts w:hint="eastAsia" w:ascii="宋体" w:hAnsi="宋体" w:cs="宋体"/>
          <w:b w:val="0"/>
          <w:color w:val="auto"/>
          <w:kern w:val="0"/>
          <w:sz w:val="36"/>
          <w:szCs w:val="36"/>
          <w:highlight w:val="none"/>
          <w:lang w:bidi="ar"/>
        </w:rPr>
        <w:t>内容及相关要求</w:t>
      </w:r>
    </w:p>
    <w:p w14:paraId="661872D3">
      <w:pPr>
        <w:jc w:val="center"/>
        <w:rPr>
          <w:rFonts w:hint="eastAsia" w:ascii="宋体" w:hAnsi="宋体" w:cs="宋体"/>
          <w:b w:val="0"/>
          <w:color w:val="auto"/>
          <w:kern w:val="0"/>
          <w:sz w:val="36"/>
          <w:szCs w:val="36"/>
          <w:highlight w:val="none"/>
          <w:lang w:bidi="ar"/>
        </w:rPr>
      </w:pPr>
    </w:p>
    <w:p w14:paraId="7EA086D3">
      <w:pPr>
        <w:numPr>
          <w:ilvl w:val="0"/>
          <w:numId w:val="1"/>
        </w:numPr>
        <w:tabs>
          <w:tab w:val="left" w:pos="7020"/>
        </w:tabs>
        <w:spacing w:line="440" w:lineRule="exact"/>
        <w:jc w:val="center"/>
        <w:rPr>
          <w:rFonts w:hint="eastAsia" w:ascii="宋体" w:hAnsi="宋体"/>
          <w:b/>
          <w:sz w:val="28"/>
          <w:szCs w:val="28"/>
          <w:lang w:val="en-US" w:eastAsia="zh-CN"/>
        </w:rPr>
      </w:pPr>
      <w:r>
        <w:rPr>
          <w:rFonts w:hint="eastAsia" w:ascii="宋体" w:hAnsi="宋体"/>
          <w:b/>
          <w:sz w:val="28"/>
          <w:szCs w:val="28"/>
        </w:rPr>
        <w:t>采购清单</w:t>
      </w:r>
      <w:r>
        <w:rPr>
          <w:rFonts w:hint="eastAsia" w:ascii="宋体" w:hAnsi="宋体"/>
          <w:b/>
          <w:sz w:val="28"/>
          <w:szCs w:val="28"/>
          <w:lang w:val="en-US" w:eastAsia="zh-CN"/>
        </w:rPr>
        <w:t>及技术要求</w:t>
      </w:r>
    </w:p>
    <w:tbl>
      <w:tblPr>
        <w:tblStyle w:val="5"/>
        <w:tblW w:w="90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1977"/>
        <w:gridCol w:w="1241"/>
        <w:gridCol w:w="1332"/>
        <w:gridCol w:w="2112"/>
        <w:gridCol w:w="1596"/>
      </w:tblGrid>
      <w:tr w14:paraId="492B6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55DFD763">
            <w:pPr>
              <w:pStyle w:val="8"/>
              <w:spacing w:line="240" w:lineRule="auto"/>
              <w:contextualSpacing/>
              <w:rPr>
                <w:rFonts w:hint="eastAsia" w:ascii="宋体" w:hAnsi="宋体" w:cs="宋体"/>
                <w:b/>
                <w:sz w:val="24"/>
              </w:rPr>
            </w:pPr>
            <w:r>
              <w:rPr>
                <w:rFonts w:hint="eastAsia" w:ascii="宋体" w:hAnsi="宋体" w:cs="宋体"/>
                <w:b/>
                <w:sz w:val="24"/>
              </w:rPr>
              <w:t>序号</w:t>
            </w:r>
          </w:p>
        </w:tc>
        <w:tc>
          <w:tcPr>
            <w:tcW w:w="1977" w:type="dxa"/>
            <w:tcBorders>
              <w:top w:val="single" w:color="auto" w:sz="4" w:space="0"/>
              <w:left w:val="single" w:color="auto" w:sz="4" w:space="0"/>
              <w:bottom w:val="single" w:color="auto" w:sz="4" w:space="0"/>
              <w:right w:val="single" w:color="auto" w:sz="4" w:space="0"/>
            </w:tcBorders>
            <w:noWrap w:val="0"/>
            <w:vAlign w:val="center"/>
          </w:tcPr>
          <w:p w14:paraId="5D12DCC0">
            <w:pPr>
              <w:pStyle w:val="8"/>
              <w:spacing w:line="240" w:lineRule="auto"/>
              <w:contextualSpacing/>
              <w:rPr>
                <w:rFonts w:hint="eastAsia" w:ascii="宋体" w:hAnsi="宋体" w:cs="宋体"/>
                <w:b/>
                <w:sz w:val="24"/>
              </w:rPr>
            </w:pPr>
            <w:r>
              <w:rPr>
                <w:rFonts w:hint="eastAsia" w:ascii="宋体" w:hAnsi="宋体" w:cs="宋体"/>
                <w:b/>
                <w:sz w:val="24"/>
              </w:rPr>
              <w:t>货物名称</w:t>
            </w:r>
          </w:p>
        </w:tc>
        <w:tc>
          <w:tcPr>
            <w:tcW w:w="1241" w:type="dxa"/>
            <w:tcBorders>
              <w:top w:val="single" w:color="auto" w:sz="4" w:space="0"/>
              <w:left w:val="single" w:color="auto" w:sz="4" w:space="0"/>
              <w:bottom w:val="single" w:color="auto" w:sz="4" w:space="0"/>
              <w:right w:val="single" w:color="auto" w:sz="4" w:space="0"/>
            </w:tcBorders>
            <w:noWrap w:val="0"/>
            <w:vAlign w:val="center"/>
          </w:tcPr>
          <w:p w14:paraId="2041851A">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单位</w:t>
            </w:r>
          </w:p>
        </w:tc>
        <w:tc>
          <w:tcPr>
            <w:tcW w:w="1332" w:type="dxa"/>
            <w:tcBorders>
              <w:top w:val="single" w:color="auto" w:sz="4" w:space="0"/>
              <w:left w:val="single" w:color="auto" w:sz="4" w:space="0"/>
              <w:bottom w:val="single" w:color="auto" w:sz="4" w:space="0"/>
              <w:right w:val="single" w:color="auto" w:sz="4" w:space="0"/>
            </w:tcBorders>
            <w:noWrap w:val="0"/>
            <w:vAlign w:val="center"/>
          </w:tcPr>
          <w:p w14:paraId="08346E64">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数量</w:t>
            </w:r>
          </w:p>
        </w:tc>
        <w:tc>
          <w:tcPr>
            <w:tcW w:w="2112" w:type="dxa"/>
            <w:tcBorders>
              <w:top w:val="single" w:color="auto" w:sz="4" w:space="0"/>
              <w:left w:val="single" w:color="auto" w:sz="4" w:space="0"/>
              <w:bottom w:val="single" w:color="auto" w:sz="4" w:space="0"/>
              <w:right w:val="single" w:color="auto" w:sz="4" w:space="0"/>
            </w:tcBorders>
            <w:noWrap w:val="0"/>
            <w:vAlign w:val="center"/>
          </w:tcPr>
          <w:p w14:paraId="7E82872C">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预算单价（元）</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16B19D69">
            <w:pPr>
              <w:pStyle w:val="8"/>
              <w:spacing w:line="240" w:lineRule="auto"/>
              <w:contextualSpacing/>
              <w:rPr>
                <w:rFonts w:hint="default" w:ascii="宋体" w:hAnsi="宋体" w:eastAsia="宋体" w:cs="宋体"/>
                <w:b/>
                <w:sz w:val="24"/>
                <w:lang w:val="en-US" w:eastAsia="zh-CN"/>
              </w:rPr>
            </w:pPr>
            <w:r>
              <w:rPr>
                <w:rFonts w:hint="eastAsia" w:ascii="宋体" w:hAnsi="宋体" w:cs="宋体"/>
                <w:b/>
                <w:sz w:val="24"/>
                <w:lang w:eastAsia="zh-CN"/>
              </w:rPr>
              <w:t>备注</w:t>
            </w:r>
          </w:p>
        </w:tc>
      </w:tr>
      <w:tr w14:paraId="29068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70B832BE">
            <w:pPr>
              <w:tabs>
                <w:tab w:val="left" w:pos="574"/>
              </w:tabs>
              <w:jc w:val="center"/>
              <w:rPr>
                <w:rFonts w:hint="eastAsia" w:ascii="宋体" w:hAnsi="宋体"/>
                <w:sz w:val="24"/>
                <w:lang w:val="en-US" w:eastAsia="zh-CN"/>
              </w:rPr>
            </w:pPr>
            <w:r>
              <w:rPr>
                <w:rFonts w:hint="eastAsia" w:ascii="宋体" w:hAnsi="宋体"/>
                <w:sz w:val="24"/>
                <w:lang w:val="en-US" w:eastAsia="zh-CN"/>
              </w:rPr>
              <w:t>1</w:t>
            </w:r>
          </w:p>
        </w:tc>
        <w:tc>
          <w:tcPr>
            <w:tcW w:w="1977" w:type="dxa"/>
            <w:tcBorders>
              <w:top w:val="single" w:color="auto" w:sz="4" w:space="0"/>
              <w:left w:val="single" w:color="auto" w:sz="4" w:space="0"/>
              <w:bottom w:val="single" w:color="auto" w:sz="4" w:space="0"/>
              <w:right w:val="single" w:color="auto" w:sz="4" w:space="0"/>
            </w:tcBorders>
            <w:noWrap w:val="0"/>
            <w:vAlign w:val="center"/>
          </w:tcPr>
          <w:p w14:paraId="75FE4138">
            <w:pPr>
              <w:tabs>
                <w:tab w:val="left" w:pos="574"/>
              </w:tabs>
              <w:jc w:val="center"/>
              <w:rPr>
                <w:rFonts w:hint="default" w:ascii="宋体" w:hAnsi="宋体"/>
                <w:sz w:val="24"/>
                <w:lang w:val="en-US" w:eastAsia="zh-CN"/>
              </w:rPr>
            </w:pPr>
            <w:r>
              <w:rPr>
                <w:rFonts w:hint="eastAsia" w:ascii="宋体" w:hAnsi="宋体"/>
                <w:sz w:val="24"/>
                <w:lang w:val="en-US" w:eastAsia="zh-CN"/>
              </w:rPr>
              <w:t>输液泵</w:t>
            </w:r>
          </w:p>
        </w:tc>
        <w:tc>
          <w:tcPr>
            <w:tcW w:w="1241" w:type="dxa"/>
            <w:tcBorders>
              <w:top w:val="single" w:color="auto" w:sz="4" w:space="0"/>
              <w:left w:val="single" w:color="auto" w:sz="4" w:space="0"/>
              <w:bottom w:val="single" w:color="auto" w:sz="4" w:space="0"/>
              <w:right w:val="single" w:color="auto" w:sz="4" w:space="0"/>
            </w:tcBorders>
            <w:noWrap w:val="0"/>
            <w:vAlign w:val="center"/>
          </w:tcPr>
          <w:p w14:paraId="7879887B">
            <w:pPr>
              <w:tabs>
                <w:tab w:val="left" w:pos="574"/>
              </w:tabs>
              <w:jc w:val="center"/>
              <w:rPr>
                <w:rFonts w:hint="default" w:ascii="宋体" w:hAnsi="宋体"/>
                <w:sz w:val="24"/>
                <w:lang w:val="en-US" w:eastAsia="zh-CN"/>
              </w:rPr>
            </w:pPr>
            <w:r>
              <w:rPr>
                <w:rFonts w:hint="eastAsia" w:ascii="宋体" w:hAnsi="宋体"/>
                <w:sz w:val="24"/>
                <w:lang w:val="en-US" w:eastAsia="zh-CN"/>
              </w:rPr>
              <w:t>1</w:t>
            </w:r>
          </w:p>
        </w:tc>
        <w:tc>
          <w:tcPr>
            <w:tcW w:w="1332" w:type="dxa"/>
            <w:tcBorders>
              <w:top w:val="single" w:color="auto" w:sz="4" w:space="0"/>
              <w:left w:val="single" w:color="auto" w:sz="4" w:space="0"/>
              <w:bottom w:val="single" w:color="auto" w:sz="4" w:space="0"/>
              <w:right w:val="single" w:color="auto" w:sz="4" w:space="0"/>
            </w:tcBorders>
            <w:noWrap w:val="0"/>
            <w:vAlign w:val="center"/>
          </w:tcPr>
          <w:p w14:paraId="11DD6730">
            <w:pPr>
              <w:tabs>
                <w:tab w:val="left" w:pos="574"/>
              </w:tabs>
              <w:jc w:val="center"/>
              <w:rPr>
                <w:rFonts w:hint="default" w:ascii="宋体" w:hAnsi="宋体"/>
                <w:sz w:val="24"/>
                <w:lang w:val="en-US" w:eastAsia="zh-CN"/>
              </w:rPr>
            </w:pPr>
            <w:r>
              <w:rPr>
                <w:rFonts w:hint="eastAsia" w:ascii="宋体" w:hAnsi="宋体"/>
                <w:sz w:val="24"/>
                <w:lang w:val="en-US" w:eastAsia="zh-CN"/>
              </w:rPr>
              <w:t>台</w:t>
            </w:r>
          </w:p>
        </w:tc>
        <w:tc>
          <w:tcPr>
            <w:tcW w:w="2112" w:type="dxa"/>
            <w:tcBorders>
              <w:top w:val="single" w:color="auto" w:sz="4" w:space="0"/>
              <w:left w:val="single" w:color="auto" w:sz="4" w:space="0"/>
              <w:bottom w:val="single" w:color="auto" w:sz="4" w:space="0"/>
              <w:right w:val="single" w:color="auto" w:sz="4" w:space="0"/>
            </w:tcBorders>
            <w:noWrap w:val="0"/>
            <w:vAlign w:val="center"/>
          </w:tcPr>
          <w:p w14:paraId="0F19B758">
            <w:pPr>
              <w:tabs>
                <w:tab w:val="left" w:pos="574"/>
              </w:tabs>
              <w:jc w:val="center"/>
              <w:rPr>
                <w:rFonts w:hint="default" w:ascii="宋体" w:hAnsi="宋体"/>
                <w:sz w:val="24"/>
                <w:lang w:val="en-US" w:eastAsia="zh-CN"/>
              </w:rPr>
            </w:pPr>
            <w:r>
              <w:rPr>
                <w:rFonts w:hint="eastAsia" w:ascii="宋体" w:hAnsi="宋体"/>
                <w:sz w:val="24"/>
                <w:lang w:val="en-US" w:eastAsia="zh-CN"/>
              </w:rPr>
              <w:t>3500</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2BADD3FC">
            <w:pPr>
              <w:tabs>
                <w:tab w:val="left" w:pos="574"/>
              </w:tabs>
              <w:jc w:val="center"/>
              <w:rPr>
                <w:rFonts w:hint="default" w:ascii="宋体" w:hAnsi="宋体"/>
                <w:sz w:val="24"/>
                <w:lang w:val="en-US" w:eastAsia="zh-CN"/>
              </w:rPr>
            </w:pPr>
            <w:r>
              <w:rPr>
                <w:rFonts w:hint="eastAsia" w:ascii="宋体" w:hAnsi="宋体"/>
                <w:sz w:val="24"/>
                <w:lang w:val="en-US" w:eastAsia="zh-CN"/>
              </w:rPr>
              <w:t>配套输液支架一个</w:t>
            </w:r>
          </w:p>
        </w:tc>
      </w:tr>
      <w:tr w14:paraId="60B70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5341" w:type="dxa"/>
            <w:gridSpan w:val="4"/>
            <w:tcBorders>
              <w:top w:val="single" w:color="auto" w:sz="4" w:space="0"/>
              <w:left w:val="single" w:color="auto" w:sz="4" w:space="0"/>
              <w:bottom w:val="single" w:color="auto" w:sz="4" w:space="0"/>
              <w:right w:val="single" w:color="auto" w:sz="4" w:space="0"/>
            </w:tcBorders>
            <w:noWrap w:val="0"/>
            <w:vAlign w:val="center"/>
          </w:tcPr>
          <w:p w14:paraId="14BC4C2C">
            <w:pPr>
              <w:tabs>
                <w:tab w:val="left" w:pos="574"/>
              </w:tabs>
              <w:jc w:val="right"/>
              <w:rPr>
                <w:rFonts w:hint="eastAsia" w:ascii="宋体" w:hAnsi="宋体"/>
                <w:sz w:val="24"/>
                <w:lang w:val="en-US" w:eastAsia="zh-CN"/>
              </w:rPr>
            </w:pPr>
            <w:r>
              <w:rPr>
                <w:rFonts w:hint="eastAsia" w:ascii="宋体" w:hAnsi="宋体"/>
                <w:sz w:val="24"/>
                <w:lang w:val="en-US" w:eastAsia="zh-CN"/>
              </w:rPr>
              <w:t>预算价（元）</w:t>
            </w:r>
          </w:p>
        </w:tc>
        <w:tc>
          <w:tcPr>
            <w:tcW w:w="2112" w:type="dxa"/>
            <w:tcBorders>
              <w:top w:val="single" w:color="auto" w:sz="4" w:space="0"/>
              <w:left w:val="single" w:color="auto" w:sz="4" w:space="0"/>
              <w:bottom w:val="single" w:color="auto" w:sz="4" w:space="0"/>
              <w:right w:val="single" w:color="auto" w:sz="4" w:space="0"/>
            </w:tcBorders>
            <w:noWrap w:val="0"/>
            <w:vAlign w:val="center"/>
          </w:tcPr>
          <w:p w14:paraId="50976060">
            <w:pPr>
              <w:tabs>
                <w:tab w:val="left" w:pos="574"/>
              </w:tabs>
              <w:jc w:val="center"/>
              <w:rPr>
                <w:rFonts w:hint="eastAsia" w:ascii="宋体" w:hAnsi="宋体"/>
                <w:sz w:val="24"/>
                <w:lang w:val="en-US" w:eastAsia="zh-CN"/>
              </w:rPr>
            </w:pPr>
            <w:r>
              <w:rPr>
                <w:rFonts w:hint="eastAsia" w:ascii="宋体" w:hAnsi="宋体"/>
                <w:sz w:val="24"/>
                <w:lang w:val="en-US" w:eastAsia="zh-CN"/>
              </w:rPr>
              <w:t>3500</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57B129E9">
            <w:pPr>
              <w:tabs>
                <w:tab w:val="left" w:pos="574"/>
              </w:tabs>
              <w:jc w:val="center"/>
              <w:rPr>
                <w:rFonts w:hint="default" w:ascii="宋体" w:hAnsi="宋体"/>
                <w:sz w:val="24"/>
                <w:lang w:val="en-US" w:eastAsia="zh-CN"/>
              </w:rPr>
            </w:pPr>
          </w:p>
        </w:tc>
      </w:tr>
    </w:tbl>
    <w:p w14:paraId="239EB6A8">
      <w:pPr>
        <w:widowControl w:val="0"/>
        <w:numPr>
          <w:ilvl w:val="0"/>
          <w:numId w:val="0"/>
        </w:numPr>
        <w:tabs>
          <w:tab w:val="left" w:pos="7020"/>
        </w:tabs>
        <w:spacing w:line="440" w:lineRule="exact"/>
        <w:jc w:val="center"/>
        <w:rPr>
          <w:rFonts w:hint="eastAsia" w:ascii="宋体" w:hAnsi="宋体"/>
          <w:b w:val="0"/>
          <w:bCs/>
          <w:sz w:val="24"/>
          <w:szCs w:val="24"/>
          <w:lang w:val="en-US" w:eastAsia="zh-CN"/>
        </w:rPr>
      </w:pPr>
    </w:p>
    <w:p w14:paraId="2AD0143B">
      <w:pPr>
        <w:tabs>
          <w:tab w:val="left" w:pos="7020"/>
        </w:tabs>
        <w:spacing w:line="440" w:lineRule="exact"/>
        <w:ind w:firstLine="482" w:firstLineChars="200"/>
        <w:jc w:val="center"/>
        <w:rPr>
          <w:rFonts w:hint="eastAsia" w:ascii="宋体" w:hAnsi="宋体"/>
          <w:b/>
          <w:bCs/>
          <w:sz w:val="24"/>
          <w:lang w:val="en-US" w:eastAsia="zh-CN"/>
        </w:rPr>
      </w:pPr>
      <w:r>
        <w:rPr>
          <w:rFonts w:hint="eastAsia" w:ascii="宋体" w:hAnsi="宋体"/>
          <w:b/>
          <w:bCs/>
          <w:sz w:val="24"/>
          <w:lang w:val="en-US" w:eastAsia="zh-CN"/>
        </w:rPr>
        <w:t>二、技术要求</w:t>
      </w:r>
    </w:p>
    <w:p w14:paraId="2C383C1C">
      <w:pPr>
        <w:tabs>
          <w:tab w:val="left" w:pos="7020"/>
        </w:tabs>
        <w:spacing w:line="440" w:lineRule="exact"/>
        <w:ind w:left="1440" w:hanging="1440" w:hangingChars="600"/>
        <w:jc w:val="left"/>
        <w:rPr>
          <w:rFonts w:hint="default" w:ascii="宋体" w:hAnsi="宋体"/>
          <w:sz w:val="24"/>
          <w:lang w:val="en-US" w:eastAsia="zh-CN"/>
        </w:rPr>
      </w:pPr>
      <w:r>
        <w:rPr>
          <w:rFonts w:hint="eastAsia" w:ascii="宋体" w:hAnsi="宋体"/>
          <w:sz w:val="24"/>
          <w:lang w:val="en-US" w:eastAsia="zh-CN"/>
        </w:rPr>
        <w:t>1、工作模式:≥8 种模式可选，包含但不限于：速度模式、时间模式、体重模式、序列模式、点滴模式、梯度模式、首剂量模式、微量模式；</w:t>
      </w:r>
    </w:p>
    <w:p w14:paraId="68F15053">
      <w:pPr>
        <w:tabs>
          <w:tab w:val="left" w:pos="7020"/>
        </w:tabs>
        <w:spacing w:line="440" w:lineRule="exact"/>
        <w:ind w:left="1200" w:hanging="1200" w:hangingChars="500"/>
        <w:jc w:val="left"/>
        <w:rPr>
          <w:rFonts w:hint="eastAsia" w:ascii="宋体" w:hAnsi="宋体"/>
          <w:sz w:val="24"/>
          <w:lang w:val="en-US" w:eastAsia="zh-CN"/>
        </w:rPr>
      </w:pPr>
      <w:r>
        <w:rPr>
          <w:rFonts w:hint="eastAsia" w:ascii="宋体" w:hAnsi="宋体"/>
          <w:sz w:val="24"/>
          <w:lang w:val="en-US" w:eastAsia="zh-CN"/>
        </w:rPr>
        <w:t>2、显示 ：LCD显示屏，触摸屏操作、按键设置，同时具备字体放大功能运行时，可一键放大字体功能；</w:t>
      </w:r>
    </w:p>
    <w:p w14:paraId="53360494">
      <w:pPr>
        <w:tabs>
          <w:tab w:val="left" w:pos="7020"/>
        </w:tabs>
        <w:spacing w:line="440" w:lineRule="exact"/>
        <w:jc w:val="left"/>
        <w:rPr>
          <w:rFonts w:hint="eastAsia" w:ascii="宋体" w:hAnsi="宋体"/>
          <w:sz w:val="24"/>
          <w:lang w:val="en-US" w:eastAsia="zh-CN"/>
        </w:rPr>
      </w:pPr>
      <w:r>
        <w:rPr>
          <w:rFonts w:hint="eastAsia" w:ascii="宋体" w:hAnsi="宋体"/>
          <w:sz w:val="24"/>
          <w:lang w:val="en-US" w:eastAsia="zh-CN"/>
        </w:rPr>
        <w:t>3、输液速率：0.1-1200.0ml/h或（0.03-400d/min）（20d/ml输液器）；</w:t>
      </w:r>
    </w:p>
    <w:p w14:paraId="1839B0EE">
      <w:pPr>
        <w:tabs>
          <w:tab w:val="left" w:pos="7020"/>
        </w:tabs>
        <w:spacing w:line="440" w:lineRule="exact"/>
        <w:ind w:firstLine="1440" w:firstLineChars="600"/>
        <w:jc w:val="left"/>
        <w:rPr>
          <w:rFonts w:hint="eastAsia" w:ascii="宋体" w:hAnsi="宋体"/>
          <w:sz w:val="24"/>
          <w:lang w:val="en-US" w:eastAsia="zh-CN"/>
        </w:rPr>
      </w:pPr>
      <w:r>
        <w:rPr>
          <w:rFonts w:hint="eastAsia" w:ascii="宋体" w:hAnsi="宋体"/>
          <w:sz w:val="24"/>
          <w:lang w:val="en-US" w:eastAsia="zh-CN"/>
        </w:rPr>
        <w:t>0.1-400.0ml/h或（0.1-400d/min）（60d/ml输液器）；</w:t>
      </w:r>
    </w:p>
    <w:p w14:paraId="5DA13AC0">
      <w:pPr>
        <w:tabs>
          <w:tab w:val="left" w:pos="7020"/>
        </w:tabs>
        <w:spacing w:line="440" w:lineRule="exact"/>
        <w:ind w:left="1680" w:hanging="1680" w:hangingChars="700"/>
        <w:jc w:val="left"/>
        <w:rPr>
          <w:rFonts w:hint="eastAsia" w:ascii="宋体" w:hAnsi="宋体"/>
          <w:sz w:val="24"/>
          <w:lang w:val="en-US" w:eastAsia="zh-CN"/>
        </w:rPr>
      </w:pPr>
      <w:r>
        <w:rPr>
          <w:rFonts w:hint="eastAsia" w:ascii="宋体" w:hAnsi="宋体"/>
          <w:sz w:val="24"/>
          <w:lang w:val="en-US" w:eastAsia="zh-CN"/>
        </w:rPr>
        <w:t>4、阻塞等级 ：225mmHg~975mmHg 可以选择11档阻塞级别，并且可以显示管路的压力状态；</w:t>
      </w:r>
    </w:p>
    <w:p w14:paraId="1F8B9AC8">
      <w:pPr>
        <w:tabs>
          <w:tab w:val="left" w:pos="7020"/>
        </w:tabs>
        <w:spacing w:line="440" w:lineRule="exact"/>
        <w:ind w:left="480" w:hanging="480" w:hangingChars="200"/>
        <w:jc w:val="left"/>
        <w:rPr>
          <w:rFonts w:hint="eastAsia" w:ascii="宋体" w:hAnsi="宋体"/>
          <w:sz w:val="24"/>
          <w:lang w:val="en-US" w:eastAsia="zh-CN"/>
        </w:rPr>
      </w:pPr>
      <w:r>
        <w:rPr>
          <w:rFonts w:hint="eastAsia" w:ascii="宋体" w:hAnsi="宋体"/>
          <w:sz w:val="24"/>
          <w:lang w:val="en-US" w:eastAsia="zh-CN"/>
        </w:rPr>
        <w:t>5、具有晚间操作照明灯，可选择多种颜色的界面风格，用于区分不同的药物危重等级；</w:t>
      </w:r>
    </w:p>
    <w:p w14:paraId="13149CF1">
      <w:pPr>
        <w:tabs>
          <w:tab w:val="left" w:pos="7020"/>
        </w:tabs>
        <w:spacing w:line="440" w:lineRule="exact"/>
        <w:jc w:val="left"/>
        <w:rPr>
          <w:rFonts w:hint="eastAsia" w:ascii="宋体" w:hAnsi="宋体"/>
          <w:sz w:val="24"/>
          <w:lang w:val="en-US" w:eastAsia="zh-CN"/>
        </w:rPr>
      </w:pPr>
      <w:r>
        <w:rPr>
          <w:rFonts w:hint="eastAsia" w:ascii="宋体" w:hAnsi="宋体"/>
          <w:sz w:val="24"/>
          <w:lang w:val="en-US" w:eastAsia="zh-CN"/>
        </w:rPr>
        <w:t>6、具有手动快进、快速定量快进、自动快进等三种快进方式可选；</w:t>
      </w:r>
    </w:p>
    <w:p w14:paraId="3CB7F63C">
      <w:pPr>
        <w:tabs>
          <w:tab w:val="left" w:pos="7020"/>
        </w:tabs>
        <w:spacing w:line="440" w:lineRule="exact"/>
        <w:jc w:val="left"/>
        <w:rPr>
          <w:rFonts w:hint="eastAsia" w:ascii="宋体" w:hAnsi="宋体"/>
          <w:sz w:val="24"/>
          <w:lang w:val="en-US" w:eastAsia="zh-CN"/>
        </w:rPr>
      </w:pPr>
      <w:r>
        <w:rPr>
          <w:rFonts w:hint="eastAsia" w:ascii="宋体" w:hAnsi="宋体"/>
          <w:sz w:val="24"/>
          <w:lang w:val="en-US" w:eastAsia="zh-CN"/>
        </w:rPr>
        <w:t>7、气泡敏感度，25-800ul，7挡可调；</w:t>
      </w:r>
    </w:p>
    <w:p w14:paraId="02136271">
      <w:pPr>
        <w:tabs>
          <w:tab w:val="left" w:pos="7020"/>
        </w:tabs>
        <w:spacing w:line="440" w:lineRule="exact"/>
        <w:jc w:val="left"/>
        <w:rPr>
          <w:rFonts w:hint="eastAsia" w:ascii="宋体" w:hAnsi="宋体"/>
          <w:sz w:val="24"/>
          <w:lang w:val="en-US" w:eastAsia="zh-CN"/>
        </w:rPr>
      </w:pPr>
      <w:r>
        <w:rPr>
          <w:rFonts w:hint="eastAsia" w:ascii="宋体" w:hAnsi="宋体"/>
          <w:sz w:val="24"/>
          <w:lang w:val="en-US" w:eastAsia="zh-CN"/>
        </w:rPr>
        <w:t>8、在线滴定、电动安全门，电动止夜夹，保证输液精度稳定；</w:t>
      </w:r>
    </w:p>
    <w:p w14:paraId="14CA42EA">
      <w:pPr>
        <w:tabs>
          <w:tab w:val="left" w:pos="7020"/>
        </w:tabs>
        <w:spacing w:line="440" w:lineRule="exact"/>
        <w:jc w:val="left"/>
        <w:rPr>
          <w:rFonts w:hint="eastAsia" w:ascii="宋体" w:hAnsi="宋体"/>
          <w:sz w:val="24"/>
          <w:lang w:val="en-US" w:eastAsia="zh-CN"/>
        </w:rPr>
      </w:pPr>
      <w:r>
        <w:rPr>
          <w:rFonts w:hint="eastAsia" w:ascii="宋体" w:hAnsi="宋体"/>
          <w:sz w:val="24"/>
          <w:lang w:val="en-US" w:eastAsia="zh-CN"/>
        </w:rPr>
        <w:t>9、累计容量：0.1-9999.9mL；</w:t>
      </w:r>
    </w:p>
    <w:p w14:paraId="3CB0EC28">
      <w:pPr>
        <w:tabs>
          <w:tab w:val="left" w:pos="7020"/>
        </w:tabs>
        <w:spacing w:line="440" w:lineRule="exact"/>
        <w:jc w:val="left"/>
        <w:rPr>
          <w:rFonts w:hint="eastAsia" w:ascii="宋体" w:hAnsi="宋体"/>
          <w:sz w:val="24"/>
          <w:lang w:val="en-US" w:eastAsia="zh-CN"/>
        </w:rPr>
      </w:pPr>
      <w:r>
        <w:rPr>
          <w:rFonts w:hint="eastAsia" w:ascii="宋体" w:hAnsi="宋体"/>
          <w:sz w:val="24"/>
          <w:lang w:val="en-US" w:eastAsia="zh-CN"/>
        </w:rPr>
        <w:t>10、KVO：0.1-5mL/h 可调；</w:t>
      </w:r>
    </w:p>
    <w:p w14:paraId="5FBC5CA2">
      <w:pPr>
        <w:tabs>
          <w:tab w:val="left" w:pos="7020"/>
        </w:tabs>
        <w:spacing w:line="440" w:lineRule="exact"/>
        <w:jc w:val="left"/>
        <w:rPr>
          <w:rFonts w:hint="eastAsia" w:ascii="宋体" w:hAnsi="宋体"/>
          <w:sz w:val="24"/>
          <w:lang w:val="en-US" w:eastAsia="zh-CN"/>
        </w:rPr>
      </w:pPr>
      <w:r>
        <w:rPr>
          <w:rFonts w:hint="eastAsia" w:ascii="宋体" w:hAnsi="宋体"/>
          <w:sz w:val="24"/>
          <w:lang w:val="en-US" w:eastAsia="zh-CN"/>
        </w:rPr>
        <w:t>11、限制量：0.1-9999.99mL；</w:t>
      </w:r>
    </w:p>
    <w:p w14:paraId="7D3069DB">
      <w:pPr>
        <w:tabs>
          <w:tab w:val="left" w:pos="7020"/>
        </w:tabs>
        <w:spacing w:line="440" w:lineRule="exact"/>
        <w:jc w:val="left"/>
        <w:rPr>
          <w:rFonts w:hint="eastAsia" w:ascii="宋体" w:hAnsi="宋体"/>
          <w:sz w:val="24"/>
          <w:lang w:val="en-US" w:eastAsia="zh-CN"/>
        </w:rPr>
      </w:pPr>
      <w:r>
        <w:rPr>
          <w:rFonts w:hint="eastAsia" w:ascii="宋体" w:hAnsi="宋体"/>
          <w:sz w:val="24"/>
          <w:lang w:val="en-US" w:eastAsia="zh-CN"/>
        </w:rPr>
        <w:t>12、精度≤±5%；</w:t>
      </w:r>
    </w:p>
    <w:p w14:paraId="63458CE4">
      <w:pPr>
        <w:tabs>
          <w:tab w:val="left" w:pos="7020"/>
        </w:tabs>
        <w:spacing w:line="440" w:lineRule="exact"/>
        <w:jc w:val="left"/>
        <w:rPr>
          <w:rFonts w:hint="eastAsia" w:ascii="宋体" w:hAnsi="宋体"/>
          <w:sz w:val="24"/>
          <w:lang w:val="en-US" w:eastAsia="zh-CN"/>
        </w:rPr>
      </w:pPr>
      <w:r>
        <w:rPr>
          <w:rFonts w:hint="eastAsia" w:ascii="宋体" w:hAnsi="宋体"/>
          <w:sz w:val="24"/>
          <w:lang w:val="en-US" w:eastAsia="zh-CN"/>
        </w:rPr>
        <w:t>13、电源：交流电源：交流100-240V  50/60Hz输入功率25VA；</w:t>
      </w:r>
    </w:p>
    <w:p w14:paraId="5BB26231">
      <w:pPr>
        <w:tabs>
          <w:tab w:val="left" w:pos="7020"/>
        </w:tabs>
        <w:spacing w:line="440" w:lineRule="exact"/>
        <w:jc w:val="left"/>
        <w:rPr>
          <w:rFonts w:hint="eastAsia" w:ascii="宋体" w:hAnsi="宋体"/>
          <w:sz w:val="24"/>
          <w:lang w:val="en-US" w:eastAsia="zh-CN"/>
        </w:rPr>
      </w:pPr>
      <w:r>
        <w:rPr>
          <w:rFonts w:hint="eastAsia" w:ascii="宋体" w:hAnsi="宋体"/>
          <w:sz w:val="24"/>
          <w:lang w:val="en-US" w:eastAsia="zh-CN"/>
        </w:rPr>
        <w:t xml:space="preserve">14、无线联网：接静脉输注中央站、护士呼叫、语音通话、输液泵信息联网；    </w:t>
      </w:r>
    </w:p>
    <w:p w14:paraId="459B00E7">
      <w:pPr>
        <w:tabs>
          <w:tab w:val="left" w:pos="7020"/>
        </w:tabs>
        <w:spacing w:line="440" w:lineRule="exact"/>
        <w:ind w:left="1200" w:hanging="1200" w:hangingChars="500"/>
        <w:jc w:val="left"/>
        <w:rPr>
          <w:rFonts w:hint="eastAsia" w:ascii="宋体" w:hAnsi="宋体"/>
          <w:sz w:val="24"/>
          <w:lang w:val="en-US" w:eastAsia="zh-CN"/>
        </w:rPr>
      </w:pPr>
      <w:r>
        <w:rPr>
          <w:rFonts w:hint="eastAsia" w:ascii="宋体" w:hAnsi="宋体"/>
          <w:sz w:val="24"/>
          <w:lang w:val="en-US" w:eastAsia="zh-CN"/>
        </w:rPr>
        <w:t>16、报警：输注即将完成、输注完成、输注阻塞、电池电量低、电池耗竭、无电</w:t>
      </w:r>
    </w:p>
    <w:p w14:paraId="0A7C14AE">
      <w:pPr>
        <w:tabs>
          <w:tab w:val="left" w:pos="7020"/>
        </w:tabs>
        <w:spacing w:line="440" w:lineRule="exact"/>
        <w:ind w:left="1199" w:leftChars="114" w:hanging="960" w:hangingChars="400"/>
        <w:jc w:val="left"/>
        <w:rPr>
          <w:rFonts w:hint="eastAsia" w:ascii="宋体" w:hAnsi="宋体"/>
          <w:sz w:val="24"/>
          <w:lang w:val="en-US" w:eastAsia="zh-CN"/>
        </w:rPr>
      </w:pPr>
      <w:r>
        <w:rPr>
          <w:rFonts w:hint="eastAsia" w:ascii="宋体" w:hAnsi="宋体"/>
          <w:sz w:val="24"/>
          <w:lang w:val="en-US" w:eastAsia="zh-CN"/>
        </w:rPr>
        <w:t>池、无外部电源、泵门打开、管路有气泡、无滴数传感器、无滴液、滴数异常、</w:t>
      </w:r>
    </w:p>
    <w:p w14:paraId="11F80116">
      <w:pPr>
        <w:tabs>
          <w:tab w:val="left" w:pos="7020"/>
        </w:tabs>
        <w:spacing w:line="440" w:lineRule="exact"/>
        <w:ind w:left="1199" w:leftChars="114" w:hanging="960" w:hangingChars="400"/>
        <w:jc w:val="left"/>
        <w:rPr>
          <w:rFonts w:hint="eastAsia" w:ascii="宋体" w:hAnsi="宋体"/>
          <w:sz w:val="24"/>
          <w:lang w:val="en-US" w:eastAsia="zh-CN"/>
        </w:rPr>
      </w:pPr>
      <w:r>
        <w:rPr>
          <w:rFonts w:hint="eastAsia" w:ascii="宋体" w:hAnsi="宋体"/>
          <w:sz w:val="24"/>
          <w:lang w:val="en-US" w:eastAsia="zh-CN"/>
        </w:rPr>
        <w:t>遗忘操作、待机结束；</w:t>
      </w:r>
    </w:p>
    <w:p w14:paraId="3FE40698">
      <w:pPr>
        <w:tabs>
          <w:tab w:val="left" w:pos="7020"/>
        </w:tabs>
        <w:spacing w:line="440" w:lineRule="exact"/>
        <w:ind w:left="480" w:hanging="480" w:hangingChars="200"/>
        <w:jc w:val="left"/>
        <w:rPr>
          <w:rFonts w:hint="eastAsia" w:ascii="宋体" w:hAnsi="宋体"/>
          <w:sz w:val="24"/>
          <w:lang w:val="en-US" w:eastAsia="zh-CN"/>
        </w:rPr>
      </w:pPr>
      <w:r>
        <w:rPr>
          <w:rFonts w:hint="eastAsia" w:ascii="宋体" w:hAnsi="宋体"/>
          <w:sz w:val="24"/>
          <w:lang w:val="en-US" w:eastAsia="zh-CN"/>
        </w:rPr>
        <w:t>17、符合标准的所有一次性使用注射器，20d/ml、60d/ml，用户可自定义其他符合标准的输液器；</w:t>
      </w:r>
    </w:p>
    <w:p w14:paraId="5E723911">
      <w:pPr>
        <w:tabs>
          <w:tab w:val="left" w:pos="7020"/>
        </w:tabs>
        <w:spacing w:line="440" w:lineRule="exact"/>
        <w:ind w:left="480" w:hanging="480" w:hangingChars="200"/>
        <w:jc w:val="left"/>
        <w:rPr>
          <w:rFonts w:hint="eastAsia" w:ascii="宋体" w:hAnsi="宋体"/>
          <w:sz w:val="24"/>
          <w:lang w:val="en-US" w:eastAsia="zh-CN"/>
        </w:rPr>
      </w:pPr>
      <w:r>
        <w:rPr>
          <w:rFonts w:hint="eastAsia" w:ascii="宋体" w:hAnsi="宋体"/>
          <w:sz w:val="24"/>
          <w:lang w:val="en-US" w:eastAsia="zh-CN"/>
        </w:rPr>
        <w:t>18、可调11级报警音量、冗余设计的双路声音报警，时刻监测主控电路和电机驱动电路；</w:t>
      </w:r>
    </w:p>
    <w:p w14:paraId="4EC87667">
      <w:pPr>
        <w:tabs>
          <w:tab w:val="left" w:pos="7020"/>
        </w:tabs>
        <w:spacing w:line="440" w:lineRule="exact"/>
        <w:jc w:val="left"/>
        <w:rPr>
          <w:rFonts w:hint="eastAsia" w:ascii="宋体" w:hAnsi="宋体"/>
          <w:sz w:val="24"/>
          <w:lang w:val="en-US" w:eastAsia="zh-CN"/>
        </w:rPr>
      </w:pPr>
      <w:r>
        <w:rPr>
          <w:rFonts w:hint="eastAsia" w:ascii="宋体" w:hAnsi="宋体"/>
          <w:sz w:val="24"/>
          <w:lang w:val="en-US" w:eastAsia="zh-CN"/>
        </w:rPr>
        <w:t>19、USB接口；</w:t>
      </w:r>
    </w:p>
    <w:p w14:paraId="2230CE10">
      <w:pPr>
        <w:tabs>
          <w:tab w:val="left" w:pos="7020"/>
        </w:tabs>
        <w:spacing w:line="440" w:lineRule="exact"/>
        <w:ind w:left="480" w:hanging="480" w:hangingChars="200"/>
        <w:jc w:val="left"/>
        <w:rPr>
          <w:rFonts w:hint="eastAsia" w:ascii="宋体" w:hAnsi="宋体"/>
          <w:sz w:val="24"/>
          <w:lang w:val="en-US" w:eastAsia="zh-CN"/>
        </w:rPr>
      </w:pPr>
      <w:r>
        <w:rPr>
          <w:rFonts w:hint="eastAsia" w:ascii="宋体" w:hAnsi="宋体"/>
          <w:sz w:val="24"/>
          <w:lang w:val="en-US" w:eastAsia="zh-CN"/>
        </w:rPr>
        <w:t>20、可联网输注中央监护系统，实现远程集中监护 10 个科室，并且每个科室可显示 50 个房间和 50 个床位的输注信息；</w:t>
      </w:r>
    </w:p>
    <w:p w14:paraId="793A4AD0">
      <w:pPr>
        <w:tabs>
          <w:tab w:val="left" w:pos="7020"/>
        </w:tabs>
        <w:spacing w:line="440" w:lineRule="exact"/>
        <w:ind w:left="480" w:hanging="480" w:hangingChars="200"/>
        <w:jc w:val="left"/>
        <w:rPr>
          <w:rFonts w:hint="eastAsia" w:ascii="宋体" w:hAnsi="宋体"/>
          <w:sz w:val="24"/>
          <w:lang w:val="en-US" w:eastAsia="zh-CN"/>
        </w:rPr>
      </w:pPr>
      <w:r>
        <w:rPr>
          <w:rFonts w:hint="eastAsia" w:ascii="宋体" w:hAnsi="宋体"/>
          <w:sz w:val="24"/>
          <w:lang w:val="en-US" w:eastAsia="zh-CN"/>
        </w:rPr>
        <w:t>21、可联网输注中央监护系统，其具有持续质量改进功能，并新建形成报告，用于统计输注报警事件、药物液量、输注模式等进行统计对比；</w:t>
      </w:r>
    </w:p>
    <w:p w14:paraId="2B65C06A">
      <w:pPr>
        <w:tabs>
          <w:tab w:val="left" w:pos="7020"/>
        </w:tabs>
        <w:spacing w:line="440" w:lineRule="exact"/>
        <w:jc w:val="left"/>
        <w:rPr>
          <w:rFonts w:hint="eastAsia" w:ascii="宋体" w:hAnsi="宋体"/>
          <w:sz w:val="24"/>
          <w:lang w:val="en-US" w:eastAsia="zh-CN"/>
        </w:rPr>
      </w:pPr>
      <w:r>
        <w:rPr>
          <w:rFonts w:hint="eastAsia" w:ascii="宋体" w:hAnsi="宋体"/>
          <w:sz w:val="24"/>
          <w:lang w:val="en-US" w:eastAsia="zh-CN"/>
        </w:rPr>
        <w:t>22、设备使用寿命≥10 年；</w:t>
      </w:r>
    </w:p>
    <w:p w14:paraId="052655CA">
      <w:pPr>
        <w:tabs>
          <w:tab w:val="left" w:pos="7020"/>
        </w:tabs>
        <w:spacing w:line="440" w:lineRule="exact"/>
        <w:jc w:val="left"/>
        <w:rPr>
          <w:rFonts w:hint="eastAsia" w:ascii="宋体" w:hAnsi="宋体"/>
          <w:sz w:val="24"/>
          <w:lang w:val="en-US" w:eastAsia="zh-CN"/>
        </w:rPr>
      </w:pPr>
      <w:r>
        <w:rPr>
          <w:rFonts w:hint="eastAsia" w:ascii="宋体" w:hAnsi="宋体"/>
          <w:sz w:val="24"/>
          <w:lang w:val="en-US" w:eastAsia="zh-CN"/>
        </w:rPr>
        <w:t>23、具备滴速传感器；</w:t>
      </w:r>
    </w:p>
    <w:p w14:paraId="756409B1">
      <w:pPr>
        <w:tabs>
          <w:tab w:val="left" w:pos="7020"/>
        </w:tabs>
        <w:spacing w:line="440" w:lineRule="exact"/>
        <w:jc w:val="left"/>
        <w:rPr>
          <w:rFonts w:hint="eastAsia" w:ascii="宋体" w:hAnsi="宋体"/>
          <w:b/>
          <w:bCs w:val="0"/>
          <w:sz w:val="24"/>
          <w:szCs w:val="24"/>
          <w:lang w:val="en-US" w:eastAsia="zh-CN"/>
        </w:rPr>
      </w:pPr>
      <w:r>
        <w:rPr>
          <w:rFonts w:hint="eastAsia" w:ascii="宋体" w:hAnsi="宋体"/>
          <w:sz w:val="24"/>
          <w:lang w:val="en-US" w:eastAsia="zh-CN"/>
        </w:rPr>
        <w:t>24、配套输液支架一个。</w:t>
      </w:r>
      <w:bookmarkStart w:id="0" w:name="_GoBack"/>
      <w:bookmarkEnd w:id="0"/>
    </w:p>
    <w:p w14:paraId="77EE3C74">
      <w:pPr>
        <w:widowControl w:val="0"/>
        <w:numPr>
          <w:ilvl w:val="0"/>
          <w:numId w:val="0"/>
        </w:numPr>
        <w:tabs>
          <w:tab w:val="left" w:pos="7020"/>
        </w:tabs>
        <w:spacing w:line="440" w:lineRule="exact"/>
        <w:jc w:val="center"/>
        <w:rPr>
          <w:rFonts w:hint="eastAsia" w:ascii="宋体" w:hAnsi="宋体"/>
          <w:b/>
          <w:sz w:val="28"/>
          <w:szCs w:val="28"/>
          <w:lang w:val="en-US" w:eastAsia="zh-CN"/>
        </w:rPr>
      </w:pPr>
    </w:p>
    <w:p w14:paraId="672FBC52">
      <w:pPr>
        <w:numPr>
          <w:numId w:val="0"/>
        </w:numPr>
        <w:tabs>
          <w:tab w:val="left" w:pos="7020"/>
        </w:tabs>
        <w:spacing w:line="440" w:lineRule="exact"/>
        <w:jc w:val="center"/>
        <w:rPr>
          <w:rFonts w:hint="eastAsia"/>
          <w:sz w:val="28"/>
          <w:szCs w:val="28"/>
          <w:lang w:eastAsia="zh-CN"/>
        </w:rPr>
      </w:pPr>
      <w:r>
        <w:rPr>
          <w:rFonts w:hint="eastAsia" w:ascii="宋体" w:hAnsi="宋体"/>
          <w:b/>
          <w:sz w:val="28"/>
          <w:szCs w:val="28"/>
          <w:lang w:val="en-US" w:eastAsia="zh-CN"/>
        </w:rPr>
        <w:t>三、商务要求</w:t>
      </w:r>
    </w:p>
    <w:p w14:paraId="76CF5C03">
      <w:pPr>
        <w:tabs>
          <w:tab w:val="left" w:pos="7020"/>
        </w:tabs>
        <w:spacing w:line="440" w:lineRule="exact"/>
        <w:rPr>
          <w:rFonts w:hint="eastAsia" w:ascii="宋体" w:hAnsi="宋体"/>
          <w:sz w:val="24"/>
        </w:rPr>
      </w:pPr>
      <w:r>
        <w:rPr>
          <w:rFonts w:hint="eastAsia" w:ascii="宋体" w:hAnsi="宋体"/>
          <w:sz w:val="24"/>
        </w:rPr>
        <w:t>1、所有货物（包括零部件）须为全新的、未使用过的原装正品。提交货物的技术参数和配置应与招标文件的要求及其投标文件的技术响应表（如果被评委会接受的话）相一致。若招标文件及投标文件中无相应说明，则以国家有关部门最新颁布的相应标准及规范为准。</w:t>
      </w:r>
    </w:p>
    <w:p w14:paraId="7EFD6652">
      <w:pPr>
        <w:tabs>
          <w:tab w:val="left" w:pos="7020"/>
        </w:tabs>
        <w:spacing w:line="440" w:lineRule="exact"/>
        <w:rPr>
          <w:rFonts w:hint="eastAsia" w:ascii="宋体" w:hAnsi="宋体"/>
          <w:sz w:val="24"/>
          <w:lang w:val="en-US" w:eastAsia="zh-CN"/>
        </w:rPr>
      </w:pPr>
      <w:r>
        <w:rPr>
          <w:rFonts w:hint="eastAsia" w:ascii="宋体" w:hAnsi="宋体"/>
          <w:sz w:val="24"/>
          <w:lang w:val="en-US" w:eastAsia="zh-CN"/>
        </w:rPr>
        <w:t>2、所有货物必须符合国家相关强制性要求。</w:t>
      </w:r>
    </w:p>
    <w:p w14:paraId="278FA05B">
      <w:pPr>
        <w:tabs>
          <w:tab w:val="left" w:pos="7020"/>
        </w:tabs>
        <w:spacing w:line="440" w:lineRule="exact"/>
        <w:rPr>
          <w:rFonts w:hint="eastAsia" w:ascii="宋体" w:hAnsi="宋体"/>
          <w:sz w:val="24"/>
          <w:lang w:val="en-US" w:eastAsia="zh-CN"/>
        </w:rPr>
      </w:pPr>
      <w:r>
        <w:rPr>
          <w:rFonts w:hint="eastAsia" w:ascii="宋体" w:hAnsi="宋体"/>
          <w:sz w:val="24"/>
          <w:lang w:val="en-US" w:eastAsia="zh-CN"/>
        </w:rPr>
        <w:t>3、产品质保期、服务期</w:t>
      </w:r>
      <w:r>
        <w:rPr>
          <w:rFonts w:hint="eastAsia" w:ascii="宋体" w:hAnsi="宋体"/>
          <w:sz w:val="24"/>
        </w:rPr>
        <w:t>及售后服务：</w:t>
      </w:r>
    </w:p>
    <w:p w14:paraId="234945B5">
      <w:pPr>
        <w:tabs>
          <w:tab w:val="left" w:pos="7020"/>
        </w:tabs>
        <w:spacing w:line="440" w:lineRule="exact"/>
        <w:rPr>
          <w:rFonts w:hint="eastAsia" w:ascii="宋体" w:hAnsi="宋体"/>
          <w:sz w:val="24"/>
          <w:lang w:val="en-US" w:eastAsia="zh-CN"/>
        </w:rPr>
      </w:pPr>
      <w:r>
        <w:rPr>
          <w:rFonts w:hint="eastAsia" w:ascii="宋体" w:hAnsi="宋体"/>
          <w:sz w:val="24"/>
          <w:lang w:val="en-US" w:eastAsia="zh-CN"/>
        </w:rPr>
        <w:t>3.1产品质保期：供应商须提供产品</w:t>
      </w:r>
      <w:r>
        <w:rPr>
          <w:rFonts w:hint="eastAsia" w:ascii="宋体" w:hAnsi="宋体"/>
          <w:color w:val="FF0000"/>
          <w:sz w:val="24"/>
          <w:u w:val="single"/>
          <w:lang w:val="en-US" w:eastAsia="zh-CN"/>
        </w:rPr>
        <w:t>至少1年</w:t>
      </w:r>
      <w:r>
        <w:rPr>
          <w:rFonts w:hint="eastAsia" w:ascii="宋体" w:hAnsi="宋体"/>
          <w:sz w:val="24"/>
          <w:lang w:val="en-US" w:eastAsia="zh-CN"/>
        </w:rPr>
        <w:t>的免费质保期（自验收合格之日起计算），质保期内出现质量问题，成交供应商负责包修、包退、包换，所有质保费用均已包含在总报价中。</w:t>
      </w:r>
    </w:p>
    <w:p w14:paraId="77FA1F45">
      <w:pPr>
        <w:snapToGrid w:val="0"/>
        <w:spacing w:line="440" w:lineRule="exact"/>
        <w:rPr>
          <w:rFonts w:ascii="宋体" w:hAnsi="宋体"/>
          <w:sz w:val="24"/>
        </w:rPr>
      </w:pPr>
      <w:r>
        <w:rPr>
          <w:rFonts w:hint="eastAsia" w:ascii="宋体" w:hAnsi="宋体"/>
          <w:sz w:val="24"/>
          <w:lang w:val="en-US" w:eastAsia="zh-CN"/>
        </w:rPr>
        <w:t>3.2供应商</w:t>
      </w:r>
      <w:r>
        <w:rPr>
          <w:rFonts w:hint="eastAsia" w:ascii="宋体" w:hAnsi="宋体"/>
          <w:sz w:val="24"/>
        </w:rPr>
        <w:t xml:space="preserve">须设有维修服务电话，负责解答用户在货物使用中遇到的问题，及时提出解决问题的建议和操作方法。                                                                        </w:t>
      </w:r>
    </w:p>
    <w:p w14:paraId="272FCD63">
      <w:pPr>
        <w:snapToGrid w:val="0"/>
        <w:spacing w:line="440" w:lineRule="exact"/>
        <w:rPr>
          <w:rFonts w:hint="eastAsia" w:ascii="宋体" w:hAnsi="宋体"/>
          <w:sz w:val="24"/>
          <w:lang w:val="en-US" w:eastAsia="zh-CN"/>
        </w:rPr>
      </w:pPr>
      <w:r>
        <w:rPr>
          <w:rFonts w:hint="eastAsia" w:ascii="宋体" w:hAnsi="宋体"/>
          <w:sz w:val="24"/>
          <w:lang w:val="en-US" w:eastAsia="zh-CN"/>
        </w:rPr>
        <w:t>3.3</w:t>
      </w:r>
      <w:r>
        <w:rPr>
          <w:rFonts w:hint="eastAsia" w:ascii="宋体" w:hAnsi="宋体"/>
          <w:sz w:val="24"/>
        </w:rPr>
        <w:t>售后服务响应时间</w:t>
      </w:r>
      <w:r>
        <w:rPr>
          <w:rFonts w:hint="eastAsia" w:ascii="宋体" w:hAnsi="宋体"/>
          <w:sz w:val="24"/>
          <w:szCs w:val="24"/>
        </w:rPr>
        <w:t>：</w:t>
      </w:r>
      <w:r>
        <w:rPr>
          <w:rFonts w:hint="eastAsia" w:ascii="宋体" w:hAnsi="宋体" w:cs="宋体"/>
          <w:sz w:val="24"/>
          <w:szCs w:val="24"/>
        </w:rPr>
        <w:t>如货物出现质量问题，</w:t>
      </w:r>
      <w:r>
        <w:rPr>
          <w:rFonts w:hint="eastAsia" w:ascii="宋体" w:hAnsi="宋体"/>
          <w:sz w:val="24"/>
          <w:lang w:eastAsia="zh-CN"/>
        </w:rPr>
        <w:t>供应商</w:t>
      </w:r>
      <w:r>
        <w:rPr>
          <w:rFonts w:hint="eastAsia" w:ascii="宋体" w:hAnsi="宋体" w:cs="宋体"/>
          <w:sz w:val="24"/>
          <w:szCs w:val="24"/>
        </w:rPr>
        <w:t>须</w:t>
      </w:r>
      <w:r>
        <w:rPr>
          <w:rFonts w:hint="eastAsia" w:ascii="宋体" w:hAnsi="宋体" w:cs="宋体"/>
          <w:color w:val="FF0000"/>
          <w:sz w:val="24"/>
          <w:szCs w:val="24"/>
          <w:u w:val="single"/>
        </w:rPr>
        <w:t>1小时内</w:t>
      </w:r>
      <w:r>
        <w:rPr>
          <w:rFonts w:hint="eastAsia" w:ascii="宋体" w:hAnsi="宋体" w:cs="宋体"/>
          <w:sz w:val="24"/>
          <w:szCs w:val="24"/>
        </w:rPr>
        <w:t>响应</w:t>
      </w:r>
      <w:r>
        <w:rPr>
          <w:rFonts w:hint="eastAsia" w:ascii="宋体" w:hAnsi="宋体" w:cs="宋体"/>
          <w:sz w:val="24"/>
          <w:szCs w:val="24"/>
          <w:lang w:eastAsia="zh-CN"/>
        </w:rPr>
        <w:t>，</w:t>
      </w:r>
      <w:r>
        <w:rPr>
          <w:rFonts w:hint="eastAsia" w:ascii="宋体" w:hAnsi="宋体" w:cs="宋体"/>
          <w:sz w:val="24"/>
          <w:szCs w:val="24"/>
        </w:rPr>
        <w:t>电话响应无法解决，</w:t>
      </w:r>
      <w:r>
        <w:rPr>
          <w:rFonts w:hint="eastAsia" w:ascii="宋体" w:hAnsi="宋体"/>
          <w:sz w:val="24"/>
          <w:lang w:eastAsia="zh-CN"/>
        </w:rPr>
        <w:t>供应商</w:t>
      </w:r>
      <w:r>
        <w:rPr>
          <w:rFonts w:hint="eastAsia" w:ascii="宋体" w:hAnsi="宋体" w:cs="宋体"/>
          <w:sz w:val="24"/>
          <w:szCs w:val="24"/>
        </w:rPr>
        <w:t>必须在接报修电话</w:t>
      </w:r>
      <w:r>
        <w:rPr>
          <w:rFonts w:hint="eastAsia" w:ascii="宋体" w:hAnsi="宋体" w:cs="宋体"/>
          <w:color w:val="FF0000"/>
          <w:sz w:val="24"/>
          <w:szCs w:val="24"/>
          <w:u w:val="single"/>
        </w:rPr>
        <w:t>24小时</w:t>
      </w:r>
      <w:r>
        <w:rPr>
          <w:rFonts w:hint="eastAsia" w:ascii="宋体" w:hAnsi="宋体" w:cs="宋体"/>
          <w:sz w:val="24"/>
          <w:szCs w:val="24"/>
        </w:rPr>
        <w:t>内到达现场并在</w:t>
      </w:r>
      <w:r>
        <w:rPr>
          <w:rFonts w:hint="eastAsia" w:ascii="宋体" w:hAnsi="宋体" w:cs="宋体"/>
          <w:color w:val="FF0000"/>
          <w:sz w:val="24"/>
          <w:szCs w:val="24"/>
          <w:u w:val="single"/>
        </w:rPr>
        <w:t>48小时</w:t>
      </w:r>
      <w:r>
        <w:rPr>
          <w:rFonts w:hint="eastAsia" w:ascii="宋体" w:hAnsi="宋体" w:cs="宋体"/>
          <w:sz w:val="24"/>
          <w:szCs w:val="24"/>
        </w:rPr>
        <w:t>内解决问题。如不能解决的，</w:t>
      </w:r>
      <w:r>
        <w:rPr>
          <w:rFonts w:hint="eastAsia" w:ascii="宋体" w:hAnsi="宋体"/>
          <w:sz w:val="24"/>
          <w:lang w:eastAsia="zh-CN"/>
        </w:rPr>
        <w:t>供应商</w:t>
      </w:r>
      <w:r>
        <w:rPr>
          <w:rFonts w:hint="eastAsia" w:ascii="宋体" w:hAnsi="宋体" w:cs="宋体"/>
          <w:sz w:val="24"/>
          <w:szCs w:val="24"/>
        </w:rPr>
        <w:t>需提供备品备件供采购人使用。质保期内如货物出现质量问题，</w:t>
      </w:r>
      <w:r>
        <w:rPr>
          <w:rFonts w:hint="eastAsia" w:ascii="宋体" w:hAnsi="宋体"/>
          <w:sz w:val="24"/>
          <w:lang w:eastAsia="zh-CN"/>
        </w:rPr>
        <w:t>供应商</w:t>
      </w:r>
      <w:r>
        <w:rPr>
          <w:rFonts w:hint="eastAsia" w:ascii="宋体" w:hAnsi="宋体" w:cs="宋体"/>
          <w:sz w:val="24"/>
          <w:szCs w:val="24"/>
        </w:rPr>
        <w:t>负责修复，对于无法修复的情况，</w:t>
      </w:r>
      <w:r>
        <w:rPr>
          <w:rFonts w:hint="eastAsia" w:ascii="宋体" w:hAnsi="宋体"/>
          <w:sz w:val="24"/>
          <w:lang w:eastAsia="zh-CN"/>
        </w:rPr>
        <w:t>供应商</w:t>
      </w:r>
      <w:r>
        <w:rPr>
          <w:rFonts w:hint="eastAsia" w:ascii="宋体" w:hAnsi="宋体" w:cs="宋体"/>
          <w:sz w:val="24"/>
          <w:szCs w:val="24"/>
        </w:rPr>
        <w:t>负责</w:t>
      </w:r>
      <w:r>
        <w:rPr>
          <w:rFonts w:hint="eastAsia" w:ascii="宋体" w:hAnsi="宋体" w:cs="宋体"/>
          <w:sz w:val="24"/>
          <w:szCs w:val="24"/>
          <w:lang w:val="en-US" w:eastAsia="zh-CN"/>
        </w:rPr>
        <w:t>免费</w:t>
      </w:r>
      <w:r>
        <w:rPr>
          <w:rFonts w:hint="eastAsia" w:ascii="宋体" w:hAnsi="宋体" w:cs="宋体"/>
          <w:sz w:val="24"/>
          <w:szCs w:val="24"/>
        </w:rPr>
        <w:t>更换。</w:t>
      </w:r>
    </w:p>
    <w:p w14:paraId="4AF4EFC2">
      <w:pPr>
        <w:tabs>
          <w:tab w:val="left" w:pos="7020"/>
        </w:tabs>
        <w:spacing w:line="440" w:lineRule="exact"/>
        <w:rPr>
          <w:rFonts w:hint="eastAsia" w:ascii="宋体" w:hAnsi="宋体"/>
          <w:color w:val="FF0000"/>
          <w:sz w:val="24"/>
          <w:lang w:eastAsia="zh-CN"/>
        </w:rPr>
      </w:pPr>
      <w:r>
        <w:rPr>
          <w:rFonts w:hint="eastAsia" w:ascii="宋体" w:hAnsi="宋体"/>
          <w:color w:val="FF0000"/>
          <w:sz w:val="24"/>
          <w:lang w:val="en-US" w:eastAsia="zh-CN"/>
        </w:rPr>
        <w:t>4、供货期：</w:t>
      </w:r>
      <w:r>
        <w:rPr>
          <w:rFonts w:hint="eastAsia" w:ascii="宋体" w:hAnsi="宋体"/>
          <w:color w:val="FF0000"/>
          <w:sz w:val="24"/>
          <w:u w:val="single"/>
          <w:lang w:eastAsia="zh-CN"/>
        </w:rPr>
        <w:t>自合同签订之日起，7个日历日内供货</w:t>
      </w:r>
      <w:r>
        <w:rPr>
          <w:rFonts w:hint="eastAsia" w:ascii="宋体" w:hAnsi="宋体"/>
          <w:color w:val="FF0000"/>
          <w:sz w:val="24"/>
          <w:lang w:eastAsia="zh-CN"/>
        </w:rPr>
        <w:t>；</w:t>
      </w:r>
    </w:p>
    <w:p w14:paraId="787065CE">
      <w:pPr>
        <w:tabs>
          <w:tab w:val="left" w:pos="7020"/>
        </w:tabs>
        <w:spacing w:line="440" w:lineRule="exact"/>
        <w:rPr>
          <w:rFonts w:hint="eastAsia" w:ascii="宋体" w:hAnsi="宋体"/>
          <w:color w:val="FF0000"/>
          <w:sz w:val="24"/>
          <w:lang w:eastAsia="zh-CN"/>
        </w:rPr>
      </w:pPr>
      <w:r>
        <w:rPr>
          <w:rFonts w:hint="eastAsia" w:ascii="宋体" w:hAnsi="宋体"/>
          <w:color w:val="FF0000"/>
          <w:sz w:val="24"/>
          <w:lang w:val="en-US" w:eastAsia="zh-CN"/>
        </w:rPr>
        <w:t>5、付款方式：</w:t>
      </w:r>
      <w:r>
        <w:rPr>
          <w:rFonts w:hint="eastAsia" w:ascii="宋体" w:hAnsi="宋体"/>
          <w:color w:val="FF0000"/>
          <w:sz w:val="24"/>
          <w:u w:val="single"/>
          <w:lang w:eastAsia="zh-CN"/>
        </w:rPr>
        <w:t>验收合格后，支付合同总金额的100%</w:t>
      </w:r>
      <w:r>
        <w:rPr>
          <w:rFonts w:hint="eastAsia" w:ascii="宋体" w:hAnsi="宋体"/>
          <w:color w:val="FF0000"/>
          <w:sz w:val="24"/>
          <w:lang w:eastAsia="zh-CN"/>
        </w:rPr>
        <w:t>。</w:t>
      </w:r>
    </w:p>
    <w:p w14:paraId="417D85FB">
      <w:pPr>
        <w:tabs>
          <w:tab w:val="left" w:pos="7020"/>
        </w:tabs>
        <w:spacing w:line="440" w:lineRule="exact"/>
        <w:rPr>
          <w:rFonts w:hint="eastAsia" w:ascii="宋体" w:hAnsi="宋体"/>
          <w:sz w:val="24"/>
          <w:lang w:val="en-US" w:eastAsia="zh-CN"/>
        </w:rPr>
      </w:pPr>
      <w:r>
        <w:rPr>
          <w:rFonts w:hint="eastAsia" w:ascii="宋体" w:hAnsi="宋体"/>
          <w:sz w:val="24"/>
          <w:lang w:val="en-US" w:eastAsia="zh-CN"/>
        </w:rPr>
        <w:t>6、本项目总报价包含了交付使用前的全部费用，包括货物购置费（所有设备、辅材、零配件、易损件、备品备件及专用工具等）、调试费、人工费、交通费、食宿费、管理费、运输费、保险费、质保期内的维护维修费、培训费、验收费、其他费用（如包装费、仓储费、保管费、资料费以及完成本项目所需要的其他费用）及所有价内价外税金及合理利润等。</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88AB11"/>
    <w:multiLevelType w:val="singleLevel"/>
    <w:tmpl w:val="F288AB11"/>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5E4CE0"/>
    <w:rsid w:val="00975D66"/>
    <w:rsid w:val="03685798"/>
    <w:rsid w:val="046643CE"/>
    <w:rsid w:val="04A46CA4"/>
    <w:rsid w:val="060C4B01"/>
    <w:rsid w:val="07117EF5"/>
    <w:rsid w:val="071D4AEC"/>
    <w:rsid w:val="075E4CE0"/>
    <w:rsid w:val="09306D58"/>
    <w:rsid w:val="09903C9B"/>
    <w:rsid w:val="09A514F4"/>
    <w:rsid w:val="0C774C9E"/>
    <w:rsid w:val="0C811679"/>
    <w:rsid w:val="0EC046DA"/>
    <w:rsid w:val="117235B3"/>
    <w:rsid w:val="132A4818"/>
    <w:rsid w:val="14DB04C0"/>
    <w:rsid w:val="15261D72"/>
    <w:rsid w:val="1AAC0209"/>
    <w:rsid w:val="1D721295"/>
    <w:rsid w:val="21902632"/>
    <w:rsid w:val="22421B7E"/>
    <w:rsid w:val="227C4964"/>
    <w:rsid w:val="2332159C"/>
    <w:rsid w:val="249D7540"/>
    <w:rsid w:val="24DB0068"/>
    <w:rsid w:val="261849A4"/>
    <w:rsid w:val="2CDD0F1B"/>
    <w:rsid w:val="2E33681F"/>
    <w:rsid w:val="359067DE"/>
    <w:rsid w:val="39241B86"/>
    <w:rsid w:val="3BD11425"/>
    <w:rsid w:val="421A58D4"/>
    <w:rsid w:val="42691183"/>
    <w:rsid w:val="43A42E81"/>
    <w:rsid w:val="43AD4526"/>
    <w:rsid w:val="49971F00"/>
    <w:rsid w:val="4B294DDA"/>
    <w:rsid w:val="4C93344A"/>
    <w:rsid w:val="4D98111F"/>
    <w:rsid w:val="524D13AE"/>
    <w:rsid w:val="555D3FFE"/>
    <w:rsid w:val="556C2493"/>
    <w:rsid w:val="59205A6E"/>
    <w:rsid w:val="59545718"/>
    <w:rsid w:val="5BB4249E"/>
    <w:rsid w:val="5BCC3C8B"/>
    <w:rsid w:val="5C944872"/>
    <w:rsid w:val="5D885F7C"/>
    <w:rsid w:val="5E0C65C1"/>
    <w:rsid w:val="620A72BB"/>
    <w:rsid w:val="62682234"/>
    <w:rsid w:val="62B334AF"/>
    <w:rsid w:val="637A221F"/>
    <w:rsid w:val="663D12E2"/>
    <w:rsid w:val="667768B7"/>
    <w:rsid w:val="66C0619B"/>
    <w:rsid w:val="69676DA1"/>
    <w:rsid w:val="69B46EAD"/>
    <w:rsid w:val="6D3F1FD7"/>
    <w:rsid w:val="70F61F65"/>
    <w:rsid w:val="71125845"/>
    <w:rsid w:val="75BA294F"/>
    <w:rsid w:val="77324E93"/>
    <w:rsid w:val="7D0A7D18"/>
    <w:rsid w:val="7E372D8F"/>
    <w:rsid w:val="7EB10D93"/>
    <w:rsid w:val="7F5571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next w:val="3"/>
    <w:unhideWhenUsed/>
    <w:qFormat/>
    <w:uiPriority w:val="99"/>
    <w:pPr>
      <w:ind w:firstLine="645"/>
    </w:pPr>
    <w:rPr>
      <w:rFonts w:ascii="Times New Roman" w:hAnsi="Times New Roman"/>
      <w:sz w:val="20"/>
    </w:rPr>
  </w:style>
  <w:style w:type="paragraph" w:styleId="3">
    <w:name w:val="envelope return"/>
    <w:basedOn w:val="1"/>
    <w:unhideWhenUsed/>
    <w:qFormat/>
    <w:uiPriority w:val="99"/>
    <w:pPr>
      <w:snapToGrid w:val="0"/>
    </w:pPr>
    <w:rPr>
      <w:rFonts w:ascii="Arial" w:hAnsi="Arial"/>
    </w:rPr>
  </w:style>
  <w:style w:type="paragraph" w:styleId="4">
    <w:name w:val="Body Text First Indent 2"/>
    <w:basedOn w:val="2"/>
    <w:next w:val="1"/>
    <w:unhideWhenUsed/>
    <w:qFormat/>
    <w:uiPriority w:val="99"/>
    <w:pPr>
      <w:spacing w:after="120" w:afterLines="0"/>
      <w:ind w:left="420" w:leftChars="200" w:firstLine="420"/>
    </w:pPr>
    <w:rPr>
      <w:sz w:val="21"/>
      <w:szCs w:val="24"/>
    </w:rPr>
  </w:style>
  <w:style w:type="character" w:styleId="7">
    <w:name w:val="Strong"/>
    <w:basedOn w:val="6"/>
    <w:qFormat/>
    <w:uiPriority w:val="0"/>
    <w:rPr>
      <w:b/>
    </w:rPr>
  </w:style>
  <w:style w:type="paragraph" w:customStyle="1" w:styleId="8">
    <w:name w:val="节标题"/>
    <w:basedOn w:val="1"/>
    <w:next w:val="1"/>
    <w:qFormat/>
    <w:uiPriority w:val="0"/>
    <w:pPr>
      <w:widowControl/>
      <w:spacing w:line="289" w:lineRule="atLeast"/>
      <w:jc w:val="center"/>
      <w:textAlignment w:val="baseline"/>
    </w:pPr>
    <w:rPr>
      <w:color w:val="000000"/>
      <w:kern w:val="0"/>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1385</Words>
  <Characters>1565</Characters>
  <Lines>0</Lines>
  <Paragraphs>0</Paragraphs>
  <TotalTime>1</TotalTime>
  <ScaleCrop>false</ScaleCrop>
  <LinksUpToDate>false</LinksUpToDate>
  <CharactersWithSpaces>1665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2025-04-09T03:32:00Z</dcterms:created>
  <dc:creator>Ccccccc。</dc:creator>
  <cp:lastModifiedBy>盼盼</cp:lastModifiedBy>
  <dcterms:modified xsi:type="dcterms:W3CDTF">2025-10-30T03:17:17Z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E6326581FF21445F8621DEE075A2F638_13</vt:lpwstr>
  </property>
  <property fmtid="{D5CDD505-2E9C-101B-9397-08002B2CF9AE}" pid="4" name="KSOTemplateDocerSaveRecord">
    <vt:lpwstr>eyJoZGlkIjoiNTI5YmVkMDJiOTkxMWE5ZmE1MDUxZTFlMzBmM2YzMjkiLCJ1c2VySWQiOiI1MDUzMzk5MDkifQ==</vt:lpwstr>
  </property>
</Properties>
</file>